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C9" w:rsidRPr="00C0419B" w:rsidRDefault="00D71EC9" w:rsidP="00381727">
      <w:pPr>
        <w:pStyle w:val="Heading3"/>
        <w:keepNext w:val="0"/>
        <w:shd w:val="clear" w:color="auto" w:fill="FFFFFF"/>
        <w:rPr>
          <w:rFonts w:eastAsia="Times New Roman"/>
          <w:color w:val="auto"/>
          <w:sz w:val="24"/>
          <w:szCs w:val="24"/>
        </w:rPr>
      </w:pPr>
      <w:r w:rsidRPr="00C0419B">
        <w:rPr>
          <w:rFonts w:eastAsia="Times New Roman"/>
          <w:color w:val="auto"/>
          <w:sz w:val="24"/>
          <w:szCs w:val="24"/>
          <w:shd w:val="clear" w:color="auto" w:fill="FFFFFF"/>
        </w:rPr>
        <w:t>АНАЛІЗ РЕГУЛЯТОРНОГО ВПЛИВУ</w:t>
      </w:r>
    </w:p>
    <w:p w:rsidR="00D71EC9" w:rsidRPr="00C0419B" w:rsidRDefault="00D71EC9" w:rsidP="00381727">
      <w:pPr>
        <w:pStyle w:val="Heading3"/>
        <w:keepNext w:val="0"/>
        <w:shd w:val="clear" w:color="auto" w:fill="FFFFFF"/>
        <w:rPr>
          <w:rFonts w:eastAsia="Times New Roman"/>
          <w:color w:val="auto"/>
          <w:sz w:val="24"/>
          <w:szCs w:val="24"/>
          <w:shd w:val="clear" w:color="auto" w:fill="FFFFFF"/>
        </w:rPr>
      </w:pPr>
      <w:r w:rsidRPr="00C0419B">
        <w:rPr>
          <w:rFonts w:eastAsia="Times New Roman"/>
          <w:color w:val="auto"/>
          <w:sz w:val="24"/>
          <w:szCs w:val="24"/>
          <w:shd w:val="clear" w:color="auto" w:fill="FFFFFF"/>
        </w:rPr>
        <w:t>про</w:t>
      </w:r>
      <w:r>
        <w:rPr>
          <w:rFonts w:eastAsia="Times New Roman"/>
          <w:color w:val="auto"/>
          <w:sz w:val="24"/>
          <w:szCs w:val="24"/>
          <w:shd w:val="clear" w:color="auto" w:fill="FFFFFF"/>
        </w:rPr>
        <w:t>е</w:t>
      </w:r>
      <w:bookmarkStart w:id="0" w:name="_GoBack"/>
      <w:bookmarkEnd w:id="0"/>
      <w:r w:rsidRPr="00C0419B">
        <w:rPr>
          <w:rFonts w:eastAsia="Times New Roman"/>
          <w:color w:val="auto"/>
          <w:sz w:val="24"/>
          <w:szCs w:val="24"/>
          <w:shd w:val="clear" w:color="auto" w:fill="FFFFFF"/>
        </w:rPr>
        <w:t xml:space="preserve">кту розпорядження керівника </w:t>
      </w:r>
      <w:r>
        <w:rPr>
          <w:rFonts w:eastAsia="Times New Roman"/>
          <w:color w:val="auto"/>
          <w:sz w:val="24"/>
          <w:szCs w:val="24"/>
          <w:shd w:val="clear" w:color="auto" w:fill="FFFFFF"/>
        </w:rPr>
        <w:t>Нижньотеплівської сільської</w:t>
      </w:r>
      <w:r w:rsidRPr="00C0419B">
        <w:rPr>
          <w:rFonts w:eastAsia="Times New Roman"/>
          <w:color w:val="auto"/>
          <w:sz w:val="24"/>
          <w:szCs w:val="24"/>
          <w:shd w:val="clear" w:color="auto" w:fill="FFFFFF"/>
        </w:rPr>
        <w:t xml:space="preserve"> військово-цивільної адміністрації Щастинського району Луганської області «Про встановлення ставок земельного податку та надання пільг зі сплати земельного податку на території </w:t>
      </w:r>
      <w:r>
        <w:rPr>
          <w:rFonts w:eastAsia="Times New Roman"/>
          <w:color w:val="auto"/>
          <w:sz w:val="24"/>
          <w:szCs w:val="24"/>
          <w:shd w:val="clear" w:color="auto" w:fill="FFFFFF"/>
        </w:rPr>
        <w:t>Нижньотеплівської сільської</w:t>
      </w:r>
      <w:r w:rsidRPr="00C0419B">
        <w:rPr>
          <w:rFonts w:eastAsia="Times New Roman"/>
          <w:color w:val="auto"/>
          <w:sz w:val="24"/>
          <w:szCs w:val="24"/>
          <w:shd w:val="clear" w:color="auto" w:fill="FFFFFF"/>
        </w:rPr>
        <w:t xml:space="preserve"> територіальної громади на 2022 рік»</w:t>
      </w:r>
    </w:p>
    <w:p w:rsidR="00D71EC9" w:rsidRPr="00C0419B" w:rsidRDefault="00D71EC9" w:rsidP="007F198B">
      <w:pPr>
        <w:rPr>
          <w:sz w:val="24"/>
          <w:szCs w:val="24"/>
        </w:rPr>
      </w:pPr>
    </w:p>
    <w:p w:rsidR="00D71EC9" w:rsidRPr="00C0419B" w:rsidRDefault="00D71EC9" w:rsidP="007F198B">
      <w:pPr>
        <w:ind w:firstLine="567"/>
        <w:jc w:val="both"/>
        <w:rPr>
          <w:sz w:val="24"/>
          <w:szCs w:val="24"/>
        </w:rPr>
      </w:pPr>
      <w:r w:rsidRPr="00C0419B">
        <w:rPr>
          <w:sz w:val="24"/>
          <w:szCs w:val="24"/>
        </w:rPr>
        <w:t>Аналіз регуляторного акту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11.03.2004р. №308 «Про затвердження методик проведення аналізу впливу та відстеження результативності регуляторного акта».</w:t>
      </w:r>
    </w:p>
    <w:p w:rsidR="00D71EC9" w:rsidRPr="00C0419B" w:rsidRDefault="00D71EC9" w:rsidP="007F198B">
      <w:pPr>
        <w:ind w:firstLine="567"/>
        <w:jc w:val="both"/>
        <w:rPr>
          <w:sz w:val="24"/>
          <w:szCs w:val="24"/>
        </w:rPr>
      </w:pPr>
      <w:r w:rsidRPr="00C0419B">
        <w:rPr>
          <w:sz w:val="24"/>
          <w:szCs w:val="24"/>
        </w:rPr>
        <w:t xml:space="preserve">Проект розпорядження </w:t>
      </w:r>
      <w:r>
        <w:rPr>
          <w:sz w:val="24"/>
          <w:szCs w:val="24"/>
        </w:rPr>
        <w:t>Нижньотеплівської сільської</w:t>
      </w:r>
      <w:r w:rsidRPr="00C0419B">
        <w:rPr>
          <w:sz w:val="24"/>
          <w:szCs w:val="24"/>
        </w:rPr>
        <w:t xml:space="preserve"> військово-цивільної адміністрації Щастинського району Луганської області «</w:t>
      </w:r>
      <w:r w:rsidRPr="00C0419B">
        <w:rPr>
          <w:rFonts w:eastAsia="Times New Roman"/>
          <w:sz w:val="24"/>
          <w:szCs w:val="24"/>
          <w:shd w:val="clear" w:color="auto" w:fill="FFFFFF"/>
        </w:rPr>
        <w:t xml:space="preserve">Про встановлення ставок земельного податку та надання пільг зі сплати земельного податку на території </w:t>
      </w:r>
      <w:r>
        <w:rPr>
          <w:rFonts w:eastAsia="Times New Roman"/>
          <w:sz w:val="24"/>
          <w:szCs w:val="24"/>
          <w:shd w:val="clear" w:color="auto" w:fill="FFFFFF"/>
        </w:rPr>
        <w:t>Нижньотеплівської сільської</w:t>
      </w:r>
      <w:r w:rsidRPr="00C0419B">
        <w:rPr>
          <w:rFonts w:eastAsia="Times New Roman"/>
          <w:sz w:val="24"/>
          <w:szCs w:val="24"/>
          <w:shd w:val="clear" w:color="auto" w:fill="FFFFFF"/>
        </w:rPr>
        <w:t xml:space="preserve"> територіальної громади на 2022 рік</w:t>
      </w:r>
      <w:r w:rsidRPr="00C0419B">
        <w:rPr>
          <w:sz w:val="24"/>
          <w:szCs w:val="24"/>
        </w:rPr>
        <w:t xml:space="preserve">», розроблений відповідно до частини 1 статті 1, пунктів 6, 7 частини 1 статті 4, пункту 8 частини 3 статті 6 </w:t>
      </w:r>
      <w:bookmarkStart w:id="1" w:name="_Hlk72219620"/>
      <w:r w:rsidRPr="00C0419B">
        <w:rPr>
          <w:sz w:val="24"/>
          <w:szCs w:val="24"/>
        </w:rPr>
        <w:t>Закону України «Про військово- цивільні адміністрації»,</w:t>
      </w:r>
      <w:bookmarkEnd w:id="1"/>
      <w:r w:rsidRPr="00C0419B">
        <w:rPr>
          <w:sz w:val="24"/>
          <w:szCs w:val="24"/>
        </w:rPr>
        <w:t xml:space="preserve"> статті 7, пункту 10.2 статті 10, пунктів 12.3–12.5 статті 12, статей 269–287 Податкового Кодексу України, постанови Кабінетом Міністрів України від 24.05.2017р.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та враховуючи дані нормативних грошових оцінок населених пунктів, які входять до складу селищної територіальної громади, з метою поповнення місцевого бюджету для реалізації  програми  соціально-економічного розвитку с</w:t>
      </w:r>
      <w:r>
        <w:rPr>
          <w:sz w:val="24"/>
          <w:szCs w:val="24"/>
        </w:rPr>
        <w:t>ільської</w:t>
      </w:r>
      <w:r w:rsidRPr="00C0419B">
        <w:rPr>
          <w:sz w:val="24"/>
          <w:szCs w:val="24"/>
        </w:rPr>
        <w:t xml:space="preserve"> територіальної громади, ефективного використання земель комунальної власності.</w:t>
      </w:r>
    </w:p>
    <w:p w:rsidR="00D71EC9" w:rsidRPr="00C0419B" w:rsidRDefault="00D71EC9" w:rsidP="00381727">
      <w:pPr>
        <w:rPr>
          <w:sz w:val="24"/>
          <w:szCs w:val="24"/>
        </w:rPr>
      </w:pPr>
    </w:p>
    <w:p w:rsidR="00D71EC9" w:rsidRPr="00C0419B" w:rsidRDefault="00D71EC9" w:rsidP="00FB7069">
      <w:pPr>
        <w:pStyle w:val="Heading3"/>
        <w:keepNext w:val="0"/>
        <w:shd w:val="clear" w:color="auto" w:fill="FFFFFF"/>
        <w:jc w:val="left"/>
        <w:rPr>
          <w:rFonts w:eastAsia="Times New Roman"/>
          <w:color w:val="auto"/>
          <w:sz w:val="24"/>
          <w:szCs w:val="24"/>
        </w:rPr>
      </w:pPr>
      <w:r w:rsidRPr="00C0419B">
        <w:rPr>
          <w:rFonts w:eastAsia="Times New Roman"/>
          <w:color w:val="auto"/>
          <w:sz w:val="24"/>
          <w:szCs w:val="24"/>
          <w:shd w:val="clear" w:color="auto" w:fill="FFFFFF"/>
        </w:rPr>
        <w:t>I. Визначення проблеми</w:t>
      </w:r>
    </w:p>
    <w:p w:rsidR="00D71EC9" w:rsidRPr="00C0419B" w:rsidRDefault="00D71EC9" w:rsidP="00381727">
      <w:pPr>
        <w:pStyle w:val="BodyText"/>
        <w:spacing w:after="0"/>
        <w:ind w:firstLine="709"/>
        <w:jc w:val="both"/>
        <w:rPr>
          <w:sz w:val="24"/>
          <w:szCs w:val="24"/>
        </w:rPr>
      </w:pPr>
      <w:r>
        <w:rPr>
          <w:sz w:val="24"/>
          <w:szCs w:val="24"/>
        </w:rPr>
        <w:t>Згідно положення п</w:t>
      </w:r>
      <w:r w:rsidRPr="00C0419B">
        <w:rPr>
          <w:sz w:val="24"/>
          <w:szCs w:val="24"/>
        </w:rPr>
        <w:t>ункт</w:t>
      </w:r>
      <w:r>
        <w:rPr>
          <w:sz w:val="24"/>
          <w:szCs w:val="24"/>
        </w:rPr>
        <w:t>ів</w:t>
      </w:r>
      <w:r w:rsidRPr="00C0419B">
        <w:rPr>
          <w:sz w:val="24"/>
          <w:szCs w:val="24"/>
        </w:rPr>
        <w:t xml:space="preserve"> 6, 7 частини першої статті 4 Закону України «Про військово-цивільні адміністрації»</w:t>
      </w:r>
      <w:r>
        <w:rPr>
          <w:sz w:val="24"/>
          <w:szCs w:val="24"/>
        </w:rPr>
        <w:t>,</w:t>
      </w:r>
      <w:r w:rsidRPr="00C0419B">
        <w:rPr>
          <w:sz w:val="24"/>
          <w:szCs w:val="24"/>
        </w:rPr>
        <w:t xml:space="preserve"> до повноважень військово-цивільних адміністрацій віднесено встановлення ставок місцевих податків і зборів та </w:t>
      </w:r>
      <w:r>
        <w:rPr>
          <w:sz w:val="24"/>
          <w:szCs w:val="24"/>
        </w:rPr>
        <w:t>прийняття</w:t>
      </w:r>
      <w:r w:rsidRPr="00C0419B">
        <w:rPr>
          <w:sz w:val="24"/>
          <w:szCs w:val="24"/>
        </w:rPr>
        <w:t xml:space="preserve"> рішень щодо надання відповідно до законодавства пільг зі сплати </w:t>
      </w:r>
      <w:r w:rsidRPr="00C0419B">
        <w:rPr>
          <w:rFonts w:eastAsia="Times New Roman"/>
          <w:sz w:val="24"/>
          <w:szCs w:val="24"/>
          <w:shd w:val="clear" w:color="auto" w:fill="FFFFFF"/>
        </w:rPr>
        <w:t>земельного податку</w:t>
      </w:r>
      <w:r w:rsidRPr="00C0419B">
        <w:rPr>
          <w:sz w:val="24"/>
          <w:szCs w:val="24"/>
        </w:rPr>
        <w:t>, визначених </w:t>
      </w:r>
      <w:hyperlink r:id="rId7" w:tgtFrame="_blank" w:history="1">
        <w:r w:rsidRPr="00C0419B">
          <w:rPr>
            <w:sz w:val="24"/>
            <w:szCs w:val="24"/>
          </w:rPr>
          <w:t>Податковим кодексом України</w:t>
        </w:r>
      </w:hyperlink>
      <w:r w:rsidRPr="00C0419B">
        <w:rPr>
          <w:sz w:val="24"/>
          <w:szCs w:val="24"/>
        </w:rPr>
        <w:t xml:space="preserve">. Таким чином, вирішення вказаного питання належить до компетенції </w:t>
      </w:r>
      <w:r>
        <w:rPr>
          <w:sz w:val="24"/>
          <w:szCs w:val="24"/>
        </w:rPr>
        <w:t>Нижньотеплівської сільської</w:t>
      </w:r>
      <w:r w:rsidRPr="00C0419B">
        <w:rPr>
          <w:sz w:val="24"/>
          <w:szCs w:val="24"/>
        </w:rPr>
        <w:t xml:space="preserve"> військово-цивільної адміністрації. Ставка земельного податку за земельні ділянки, які розташовані на території </w:t>
      </w:r>
      <w:r>
        <w:rPr>
          <w:sz w:val="24"/>
          <w:szCs w:val="24"/>
        </w:rPr>
        <w:t>Нижньотеплівської сільської</w:t>
      </w:r>
      <w:r w:rsidRPr="00C0419B">
        <w:rPr>
          <w:sz w:val="24"/>
          <w:szCs w:val="24"/>
        </w:rPr>
        <w:t xml:space="preserve"> територіальної громади, встановлюються у відповідності до статей 269-287 Податкового кодексу України, відповідно до категорії цільового призначення земельної ділянки.</w:t>
      </w:r>
    </w:p>
    <w:p w:rsidR="00D71EC9" w:rsidRPr="00C0419B" w:rsidRDefault="00D71EC9" w:rsidP="004D67FB">
      <w:pPr>
        <w:pStyle w:val="BodyText"/>
        <w:spacing w:after="0"/>
        <w:ind w:firstLine="567"/>
        <w:jc w:val="both"/>
        <w:rPr>
          <w:sz w:val="24"/>
          <w:szCs w:val="24"/>
        </w:rPr>
      </w:pPr>
      <w:r w:rsidRPr="00C0419B">
        <w:rPr>
          <w:sz w:val="24"/>
          <w:szCs w:val="24"/>
        </w:rPr>
        <w:t>Базою оподаткування є:</w:t>
      </w:r>
      <w:r>
        <w:rPr>
          <w:sz w:val="24"/>
          <w:szCs w:val="24"/>
        </w:rPr>
        <w:t xml:space="preserve"> </w:t>
      </w:r>
    </w:p>
    <w:p w:rsidR="00D71EC9" w:rsidRPr="00C0419B" w:rsidRDefault="00D71EC9" w:rsidP="007F198B">
      <w:pPr>
        <w:pStyle w:val="BodyText"/>
        <w:numPr>
          <w:ilvl w:val="0"/>
          <w:numId w:val="3"/>
        </w:numPr>
        <w:spacing w:after="0"/>
        <w:jc w:val="both"/>
        <w:rPr>
          <w:sz w:val="24"/>
          <w:szCs w:val="24"/>
        </w:rPr>
      </w:pPr>
      <w:r w:rsidRPr="00C0419B">
        <w:rPr>
          <w:sz w:val="24"/>
          <w:szCs w:val="24"/>
        </w:rPr>
        <w:t>площа земельних ділянок, нормативну грошову оцінку яких не проведено.</w:t>
      </w:r>
    </w:p>
    <w:p w:rsidR="00D71EC9" w:rsidRPr="00C0419B" w:rsidRDefault="00D71EC9" w:rsidP="00381727">
      <w:pPr>
        <w:pStyle w:val="BodyText"/>
        <w:spacing w:after="0"/>
        <w:ind w:firstLine="709"/>
        <w:jc w:val="both"/>
        <w:rPr>
          <w:sz w:val="24"/>
          <w:szCs w:val="24"/>
        </w:rPr>
      </w:pPr>
      <w:r w:rsidRPr="00C0419B">
        <w:rPr>
          <w:sz w:val="24"/>
          <w:szCs w:val="24"/>
        </w:rPr>
        <w:t>Окрім того, базою оподаткування земельних ділянок нормативну грошову оцінку яких не проведено на підставі наказу № 605 від 18.12.2018 р. Міністерства аграрної політики та продовольства України «Про внесення змін до додатка 1 до Порядку нормативної грошової оцінки земель сільськогосподарського призначення» є середня вартість одного гектара ріллі по Луганській області</w:t>
      </w:r>
      <w:r>
        <w:rPr>
          <w:sz w:val="24"/>
          <w:szCs w:val="24"/>
        </w:rPr>
        <w:t xml:space="preserve"> – 27125 грн.00 коп.</w:t>
      </w:r>
      <w:r w:rsidRPr="00C0419B">
        <w:rPr>
          <w:sz w:val="24"/>
          <w:szCs w:val="24"/>
        </w:rPr>
        <w:t>.</w:t>
      </w:r>
    </w:p>
    <w:p w:rsidR="00D71EC9" w:rsidRPr="00C0419B" w:rsidRDefault="00D71EC9" w:rsidP="00381727">
      <w:pPr>
        <w:pStyle w:val="BodyText"/>
        <w:spacing w:after="0"/>
        <w:ind w:firstLine="709"/>
        <w:jc w:val="both"/>
        <w:rPr>
          <w:sz w:val="24"/>
          <w:szCs w:val="24"/>
        </w:rPr>
      </w:pPr>
      <w:r w:rsidRPr="00C0419B">
        <w:rPr>
          <w:sz w:val="24"/>
          <w:szCs w:val="24"/>
        </w:rPr>
        <w:t>Проектом розпоря</w:t>
      </w:r>
      <w:r>
        <w:rPr>
          <w:sz w:val="24"/>
          <w:szCs w:val="24"/>
        </w:rPr>
        <w:t xml:space="preserve">дження передбачається створення </w:t>
      </w:r>
      <w:r w:rsidRPr="00C0419B">
        <w:rPr>
          <w:sz w:val="24"/>
          <w:szCs w:val="24"/>
        </w:rPr>
        <w:t>комфортних умов для самостійного розрахунку розміру плати за землю</w:t>
      </w:r>
      <w:r>
        <w:rPr>
          <w:sz w:val="24"/>
          <w:szCs w:val="24"/>
        </w:rPr>
        <w:t xml:space="preserve"> </w:t>
      </w:r>
      <w:r w:rsidRPr="00C0419B">
        <w:rPr>
          <w:sz w:val="24"/>
          <w:szCs w:val="24"/>
        </w:rPr>
        <w:t>платникам земельного податку, з метою забезпечення своєчасного і в повному обсязі надходження до місцевого бюджету с</w:t>
      </w:r>
      <w:r>
        <w:rPr>
          <w:sz w:val="24"/>
          <w:szCs w:val="24"/>
        </w:rPr>
        <w:t>ільської</w:t>
      </w:r>
      <w:r w:rsidRPr="00C0419B">
        <w:rPr>
          <w:sz w:val="24"/>
          <w:szCs w:val="24"/>
        </w:rPr>
        <w:t xml:space="preserve"> територіальної громади коштів, одержаних від сплати податку за земельні ділянки, розташовані на території </w:t>
      </w:r>
      <w:r>
        <w:rPr>
          <w:sz w:val="24"/>
          <w:szCs w:val="24"/>
        </w:rPr>
        <w:t xml:space="preserve"> Нижньотеплівської сільської</w:t>
      </w:r>
      <w:r w:rsidRPr="00C0419B">
        <w:rPr>
          <w:sz w:val="24"/>
          <w:szCs w:val="24"/>
        </w:rPr>
        <w:t xml:space="preserve"> територіальної громади.</w:t>
      </w:r>
    </w:p>
    <w:p w:rsidR="00D71EC9" w:rsidRPr="00C0419B" w:rsidRDefault="00D71EC9" w:rsidP="00DE7E4E">
      <w:pPr>
        <w:pStyle w:val="BodyText"/>
        <w:spacing w:after="0"/>
        <w:rPr>
          <w:sz w:val="24"/>
          <w:szCs w:val="24"/>
        </w:rPr>
      </w:pPr>
    </w:p>
    <w:p w:rsidR="00D71EC9" w:rsidRPr="00C0419B" w:rsidRDefault="00D71EC9" w:rsidP="009F5549">
      <w:pPr>
        <w:pStyle w:val="Heading3"/>
        <w:keepNext w:val="0"/>
        <w:shd w:val="clear" w:color="auto" w:fill="FFFFFF"/>
        <w:jc w:val="left"/>
        <w:rPr>
          <w:rFonts w:eastAsia="Times New Roman"/>
          <w:color w:val="auto"/>
          <w:sz w:val="24"/>
          <w:szCs w:val="24"/>
          <w:shd w:val="clear" w:color="auto" w:fill="FFFFFF"/>
        </w:rPr>
      </w:pPr>
      <w:r w:rsidRPr="00C0419B">
        <w:rPr>
          <w:rFonts w:eastAsia="Times New Roman"/>
          <w:color w:val="auto"/>
          <w:sz w:val="24"/>
          <w:szCs w:val="24"/>
          <w:shd w:val="clear" w:color="auto" w:fill="FFFFFF"/>
        </w:rPr>
        <w:t>IІ. Обгрунтування прийняття регуляторного акту</w:t>
      </w:r>
    </w:p>
    <w:p w:rsidR="00D71EC9" w:rsidRPr="00E44279" w:rsidRDefault="00D71EC9" w:rsidP="00E44279">
      <w:pPr>
        <w:ind w:firstLine="567"/>
        <w:jc w:val="both"/>
        <w:rPr>
          <w:sz w:val="24"/>
          <w:szCs w:val="24"/>
        </w:rPr>
      </w:pPr>
      <w:r w:rsidRPr="00C0419B">
        <w:rPr>
          <w:sz w:val="24"/>
          <w:szCs w:val="24"/>
        </w:rPr>
        <w:t>Враховуючи розпорядження Кабінету Міністрів України від 29.04.2020 року № 486-р «</w:t>
      </w:r>
      <w:r w:rsidRPr="00C0419B">
        <w:rPr>
          <w:sz w:val="24"/>
          <w:szCs w:val="24"/>
          <w:shd w:val="clear" w:color="auto" w:fill="FFFFFF"/>
        </w:rPr>
        <w:t xml:space="preserve">Про затвердження перспективного плану формування територій громад Луганської області» </w:t>
      </w:r>
      <w:r w:rsidRPr="00C0419B">
        <w:rPr>
          <w:sz w:val="24"/>
          <w:szCs w:val="24"/>
        </w:rPr>
        <w:t xml:space="preserve">Указом Президента України від 19.02.2021 року № 62/2021 </w:t>
      </w:r>
      <w:hyperlink r:id="rId8" w:anchor="Text" w:history="1">
        <w:r w:rsidRPr="00C0419B">
          <w:rPr>
            <w:sz w:val="24"/>
            <w:szCs w:val="24"/>
          </w:rPr>
          <w:t>«Про утворення та реорганізацію військово-цивільних адміністрацій у Луганській області»</w:t>
        </w:r>
      </w:hyperlink>
      <w:r w:rsidRPr="00C0419B">
        <w:rPr>
          <w:sz w:val="24"/>
          <w:szCs w:val="24"/>
        </w:rPr>
        <w:t xml:space="preserve"> утворено </w:t>
      </w:r>
      <w:r>
        <w:rPr>
          <w:sz w:val="24"/>
          <w:szCs w:val="24"/>
        </w:rPr>
        <w:t>Нижньотеплівську сільську</w:t>
      </w:r>
      <w:r w:rsidRPr="00C0419B">
        <w:rPr>
          <w:sz w:val="24"/>
          <w:szCs w:val="24"/>
        </w:rPr>
        <w:t xml:space="preserve"> територіальну громаду. Таким чином, вона є знов створеною адміністративно-територіальною одиницею, на території якої раніше рішення щодо встановлення </w:t>
      </w:r>
      <w:r w:rsidRPr="00C0419B">
        <w:rPr>
          <w:rFonts w:eastAsia="Times New Roman"/>
          <w:sz w:val="24"/>
          <w:szCs w:val="24"/>
          <w:shd w:val="clear" w:color="auto" w:fill="FFFFFF"/>
        </w:rPr>
        <w:t>ставок земельного податку та надання пільг зі сплати земельного податку не приймались</w:t>
      </w:r>
      <w:r w:rsidRPr="00C0419B">
        <w:rPr>
          <w:sz w:val="24"/>
          <w:szCs w:val="24"/>
        </w:rPr>
        <w:t>.</w:t>
      </w:r>
    </w:p>
    <w:p w:rsidR="00D71EC9" w:rsidRPr="00C0419B" w:rsidRDefault="00D71EC9" w:rsidP="009F5549">
      <w:pPr>
        <w:pStyle w:val="BodyText"/>
        <w:spacing w:after="0"/>
        <w:ind w:firstLine="567"/>
        <w:jc w:val="both"/>
        <w:rPr>
          <w:sz w:val="24"/>
          <w:szCs w:val="24"/>
        </w:rPr>
      </w:pPr>
      <w:r w:rsidRPr="00C0419B">
        <w:rPr>
          <w:sz w:val="24"/>
          <w:szCs w:val="24"/>
        </w:rPr>
        <w:t xml:space="preserve">Враховуючи положення Податкового Кодексу України та Закону України «Про військово-цивільні адміністрації», виникає необхідність встановлення на території новоствореної </w:t>
      </w:r>
      <w:r>
        <w:rPr>
          <w:sz w:val="24"/>
          <w:szCs w:val="24"/>
        </w:rPr>
        <w:t>Нижньотеплівської сільської</w:t>
      </w:r>
      <w:r w:rsidRPr="00C0419B">
        <w:rPr>
          <w:sz w:val="24"/>
          <w:szCs w:val="24"/>
        </w:rPr>
        <w:t xml:space="preserve"> територіальної громади </w:t>
      </w:r>
      <w:r w:rsidRPr="00C0419B">
        <w:rPr>
          <w:rFonts w:eastAsia="Times New Roman"/>
          <w:sz w:val="24"/>
          <w:szCs w:val="24"/>
          <w:shd w:val="clear" w:color="auto" w:fill="FFFFFF"/>
        </w:rPr>
        <w:t>ставок земельного податку та надання пільг зі сплати земельного податку</w:t>
      </w:r>
      <w:r w:rsidRPr="00C0419B">
        <w:rPr>
          <w:sz w:val="24"/>
          <w:szCs w:val="24"/>
        </w:rPr>
        <w:t>.</w:t>
      </w:r>
    </w:p>
    <w:p w:rsidR="00D71EC9" w:rsidRPr="00C0419B" w:rsidRDefault="00D71EC9" w:rsidP="009F5549">
      <w:pPr>
        <w:pStyle w:val="BodyText"/>
        <w:spacing w:after="0"/>
        <w:ind w:firstLine="567"/>
        <w:jc w:val="both"/>
        <w:rPr>
          <w:sz w:val="24"/>
          <w:szCs w:val="24"/>
        </w:rPr>
      </w:pPr>
      <w:r w:rsidRPr="00C0419B">
        <w:rPr>
          <w:sz w:val="24"/>
          <w:szCs w:val="24"/>
        </w:rPr>
        <w:t>Згідно пункту 12.3.5 Податкового кодексу України</w:t>
      </w:r>
      <w:r>
        <w:rPr>
          <w:sz w:val="24"/>
          <w:szCs w:val="24"/>
        </w:rPr>
        <w:t xml:space="preserve">, </w:t>
      </w:r>
      <w:r w:rsidRPr="00C0419B">
        <w:rPr>
          <w:sz w:val="24"/>
          <w:szCs w:val="24"/>
        </w:rPr>
        <w:t xml:space="preserve">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w:t>
      </w:r>
      <w:r>
        <w:rPr>
          <w:sz w:val="24"/>
          <w:szCs w:val="24"/>
        </w:rPr>
        <w:t>місцевих податків та/або зборів</w:t>
      </w:r>
      <w:r w:rsidRPr="00C0419B">
        <w:rPr>
          <w:sz w:val="24"/>
          <w:szCs w:val="24"/>
        </w:rPr>
        <w:t>. Проблемою є те, що у разі неприйняття вказаного проекту регуляторного акту, за умови відсутності раніше прийнятих органами місцевого самоврядування рішень щодо встановлення ставок земельного податку та надання пільг зі сплати земельного податку, дія яких розповсюджується на територію усієї громади, а є лише рішення сільських та селищної ради, дія яких розповсюджується лише на території колишніх адміністративно</w:t>
      </w:r>
      <w:r w:rsidRPr="00C0419B">
        <w:rPr>
          <w:rFonts w:eastAsia="Times New Roman"/>
          <w:sz w:val="24"/>
          <w:szCs w:val="24"/>
          <w:shd w:val="clear" w:color="auto" w:fill="FFFFFF"/>
        </w:rPr>
        <w:t>-територіальних одиниць, у громаді створиться правова невизначеність та відсутність прозорого і зрозумілого для мешканців громади та суб’єктів господарювання оподаткува</w:t>
      </w:r>
      <w:r>
        <w:rPr>
          <w:rFonts w:eastAsia="Times New Roman"/>
          <w:sz w:val="24"/>
          <w:szCs w:val="24"/>
          <w:shd w:val="clear" w:color="auto" w:fill="FFFFFF"/>
        </w:rPr>
        <w:t>ння, що призведе до неотримання</w:t>
      </w:r>
      <w:r w:rsidRPr="00C0419B">
        <w:rPr>
          <w:rFonts w:eastAsia="Times New Roman"/>
          <w:sz w:val="24"/>
          <w:szCs w:val="24"/>
          <w:shd w:val="clear" w:color="auto" w:fill="FFFFFF"/>
        </w:rPr>
        <w:t xml:space="preserve"> в повному обсязі податків та зборів.</w:t>
      </w:r>
    </w:p>
    <w:p w:rsidR="00D71EC9" w:rsidRPr="00C0419B" w:rsidRDefault="00D71EC9" w:rsidP="00F06390">
      <w:pPr>
        <w:pStyle w:val="BodyText"/>
        <w:spacing w:after="0"/>
        <w:ind w:firstLine="567"/>
        <w:jc w:val="both"/>
        <w:rPr>
          <w:sz w:val="24"/>
          <w:szCs w:val="24"/>
        </w:rPr>
      </w:pPr>
      <w:r w:rsidRPr="00C0419B">
        <w:rPr>
          <w:sz w:val="24"/>
          <w:szCs w:val="24"/>
        </w:rPr>
        <w:t xml:space="preserve">Прийняття цього регуляторного акта </w:t>
      </w:r>
      <w:r>
        <w:rPr>
          <w:sz w:val="24"/>
          <w:szCs w:val="24"/>
        </w:rPr>
        <w:t>удосконалить</w:t>
      </w:r>
      <w:r w:rsidRPr="00C0419B">
        <w:rPr>
          <w:sz w:val="24"/>
          <w:szCs w:val="24"/>
        </w:rPr>
        <w:t xml:space="preserve"> здійснення контролю за додержанням правил розра</w:t>
      </w:r>
      <w:r>
        <w:rPr>
          <w:sz w:val="24"/>
          <w:szCs w:val="24"/>
        </w:rPr>
        <w:t>хунку та сплати єдиного податку та дасть можливість</w:t>
      </w:r>
      <w:r w:rsidRPr="00C0419B">
        <w:rPr>
          <w:sz w:val="24"/>
          <w:szCs w:val="24"/>
        </w:rPr>
        <w:t xml:space="preserve"> поповнити бюджет громади, </w:t>
      </w:r>
      <w:r>
        <w:rPr>
          <w:sz w:val="24"/>
          <w:szCs w:val="24"/>
        </w:rPr>
        <w:t>та в подальшому,</w:t>
      </w:r>
      <w:r w:rsidRPr="00C0419B">
        <w:rPr>
          <w:sz w:val="24"/>
          <w:szCs w:val="24"/>
        </w:rPr>
        <w:t xml:space="preserve"> спрямувати отримані кошти від сплати податку на фінансування місцевих програм сприяння розвитку малого підприємництва, вирішення соціальних проблем територіальної громади та покращення </w:t>
      </w:r>
      <w:r>
        <w:rPr>
          <w:sz w:val="24"/>
          <w:szCs w:val="24"/>
        </w:rPr>
        <w:t xml:space="preserve">її </w:t>
      </w:r>
      <w:r w:rsidRPr="00C0419B">
        <w:rPr>
          <w:sz w:val="24"/>
          <w:szCs w:val="24"/>
        </w:rPr>
        <w:t>інфраструктури.</w:t>
      </w:r>
    </w:p>
    <w:p w:rsidR="00D71EC9" w:rsidRPr="00C0419B" w:rsidRDefault="00D71EC9" w:rsidP="009F5549">
      <w:pPr>
        <w:pStyle w:val="BodyText"/>
        <w:spacing w:after="0"/>
        <w:ind w:firstLine="709"/>
        <w:jc w:val="both"/>
        <w:rPr>
          <w:sz w:val="24"/>
          <w:szCs w:val="24"/>
        </w:rPr>
      </w:pPr>
      <w:r w:rsidRPr="00C0419B">
        <w:rPr>
          <w:sz w:val="24"/>
          <w:szCs w:val="24"/>
        </w:rPr>
        <w:t xml:space="preserve">Крім цього, варто зазначити, що </w:t>
      </w:r>
    </w:p>
    <w:p w:rsidR="00D71EC9" w:rsidRPr="00C0419B" w:rsidRDefault="00D71EC9" w:rsidP="00381727">
      <w:pPr>
        <w:pStyle w:val="BodyText"/>
        <w:spacing w:after="0"/>
        <w:ind w:firstLine="709"/>
        <w:jc w:val="both"/>
        <w:rPr>
          <w:sz w:val="24"/>
          <w:szCs w:val="24"/>
        </w:rPr>
      </w:pPr>
    </w:p>
    <w:p w:rsidR="00D71EC9" w:rsidRPr="00C0419B" w:rsidRDefault="00D71EC9" w:rsidP="0052210B">
      <w:pPr>
        <w:pStyle w:val="NormalWeb"/>
        <w:shd w:val="clear" w:color="auto" w:fill="FFFFFF"/>
        <w:spacing w:before="0" w:after="0" w:line="240" w:lineRule="auto"/>
        <w:rPr>
          <w:rStyle w:val="Strong"/>
          <w:rFonts w:eastAsia="Times New Roman"/>
          <w:shd w:val="clear" w:color="auto" w:fill="FFFFFF"/>
        </w:rPr>
      </w:pPr>
      <w:r w:rsidRPr="00C0419B">
        <w:rPr>
          <w:rStyle w:val="Strong"/>
          <w:rFonts w:eastAsia="Times New Roman"/>
          <w:shd w:val="clear" w:color="auto" w:fill="FFFFFF"/>
        </w:rPr>
        <w:t>III. Визначення та оцінка альтернативних способів досягнення цілей</w:t>
      </w:r>
    </w:p>
    <w:p w:rsidR="00D71EC9" w:rsidRPr="00C0419B" w:rsidRDefault="00D71EC9" w:rsidP="0052210B">
      <w:pPr>
        <w:ind w:firstLine="567"/>
        <w:jc w:val="both"/>
        <w:rPr>
          <w:sz w:val="24"/>
          <w:szCs w:val="24"/>
        </w:rPr>
      </w:pPr>
      <w:r w:rsidRPr="00C0419B">
        <w:rPr>
          <w:sz w:val="24"/>
          <w:szCs w:val="24"/>
        </w:rPr>
        <w:t xml:space="preserve">Надходження до місцевого бюджету чітко регулюються Бюджетним кодексом України. Земельний податок є одним з основних джерел надходжень до бюджету </w:t>
      </w:r>
      <w:r>
        <w:rPr>
          <w:sz w:val="24"/>
          <w:szCs w:val="24"/>
        </w:rPr>
        <w:t>Нижньотеплівської сільської</w:t>
      </w:r>
      <w:r w:rsidRPr="00C0419B">
        <w:rPr>
          <w:sz w:val="24"/>
          <w:szCs w:val="24"/>
        </w:rPr>
        <w:t xml:space="preserve"> територіальної громади. Ставку земельного податку за земельні ділянки можна коригувати диференціюючи її розмір.</w:t>
      </w:r>
    </w:p>
    <w:p w:rsidR="00D71EC9" w:rsidRPr="00C0419B" w:rsidRDefault="00D71EC9" w:rsidP="00746DF2">
      <w:pPr>
        <w:ind w:firstLine="567"/>
        <w:jc w:val="both"/>
        <w:rPr>
          <w:sz w:val="24"/>
          <w:szCs w:val="24"/>
        </w:rPr>
      </w:pPr>
      <w:r w:rsidRPr="00C0419B">
        <w:rPr>
          <w:sz w:val="24"/>
          <w:szCs w:val="24"/>
        </w:rPr>
        <w:t>У той же час обраний спосіб досягнення встановлених цілей можна вважати раціональним з таких підстав:</w:t>
      </w:r>
    </w:p>
    <w:p w:rsidR="00D71EC9" w:rsidRPr="00C0419B" w:rsidRDefault="00D71EC9" w:rsidP="00746DF2">
      <w:pPr>
        <w:pStyle w:val="ListParagraph"/>
        <w:numPr>
          <w:ilvl w:val="0"/>
          <w:numId w:val="3"/>
        </w:numPr>
        <w:jc w:val="both"/>
        <w:rPr>
          <w:sz w:val="24"/>
          <w:szCs w:val="24"/>
        </w:rPr>
      </w:pPr>
      <w:r w:rsidRPr="00C0419B">
        <w:rPr>
          <w:sz w:val="24"/>
          <w:szCs w:val="24"/>
        </w:rPr>
        <w:t>оскільки</w:t>
      </w:r>
      <w:r>
        <w:rPr>
          <w:sz w:val="24"/>
          <w:szCs w:val="24"/>
          <w:lang w:val="uk-UA"/>
        </w:rPr>
        <w:t xml:space="preserve"> він</w:t>
      </w:r>
      <w:r w:rsidRPr="00C0419B">
        <w:rPr>
          <w:sz w:val="24"/>
          <w:szCs w:val="24"/>
        </w:rPr>
        <w:t xml:space="preserve"> забезпечує</w:t>
      </w:r>
      <w:r>
        <w:rPr>
          <w:sz w:val="24"/>
          <w:szCs w:val="24"/>
          <w:lang w:val="uk-UA"/>
        </w:rPr>
        <w:t xml:space="preserve"> додержання</w:t>
      </w:r>
      <w:r>
        <w:rPr>
          <w:sz w:val="24"/>
          <w:szCs w:val="24"/>
        </w:rPr>
        <w:t xml:space="preserve"> принцип</w:t>
      </w:r>
      <w:r>
        <w:rPr>
          <w:sz w:val="24"/>
          <w:szCs w:val="24"/>
          <w:lang w:val="uk-UA"/>
        </w:rPr>
        <w:t>ів</w:t>
      </w:r>
      <w:r w:rsidRPr="00C0419B">
        <w:rPr>
          <w:sz w:val="24"/>
          <w:szCs w:val="24"/>
        </w:rPr>
        <w:t xml:space="preserve"> державної регуляторної політики;</w:t>
      </w:r>
    </w:p>
    <w:p w:rsidR="00D71EC9" w:rsidRPr="00C0419B" w:rsidRDefault="00D71EC9" w:rsidP="00746DF2">
      <w:pPr>
        <w:pStyle w:val="ListParagraph"/>
        <w:numPr>
          <w:ilvl w:val="0"/>
          <w:numId w:val="3"/>
        </w:numPr>
        <w:jc w:val="both"/>
        <w:rPr>
          <w:sz w:val="24"/>
          <w:szCs w:val="24"/>
        </w:rPr>
      </w:pPr>
      <w:r w:rsidRPr="00C0419B">
        <w:rPr>
          <w:sz w:val="24"/>
          <w:szCs w:val="24"/>
          <w:lang w:val="uk-UA" w:eastAsia="uk-UA"/>
        </w:rPr>
        <w:t>досягнення цілей державного регулювання;</w:t>
      </w:r>
    </w:p>
    <w:p w:rsidR="00D71EC9" w:rsidRPr="00C0419B" w:rsidRDefault="00D71EC9" w:rsidP="00746DF2">
      <w:pPr>
        <w:pStyle w:val="ListParagraph"/>
        <w:numPr>
          <w:ilvl w:val="0"/>
          <w:numId w:val="3"/>
        </w:numPr>
        <w:jc w:val="both"/>
        <w:rPr>
          <w:sz w:val="24"/>
          <w:szCs w:val="24"/>
        </w:rPr>
      </w:pPr>
      <w:r w:rsidRPr="00C0419B">
        <w:rPr>
          <w:sz w:val="24"/>
          <w:szCs w:val="24"/>
          <w:lang w:val="uk-UA" w:eastAsia="uk-UA"/>
        </w:rPr>
        <w:t>забезпечує реалізацію потреб у вирішення проблем місцевого значення;</w:t>
      </w:r>
    </w:p>
    <w:p w:rsidR="00D71EC9" w:rsidRPr="00C0419B" w:rsidRDefault="00D71EC9" w:rsidP="00746DF2">
      <w:pPr>
        <w:pStyle w:val="ListParagraph"/>
        <w:numPr>
          <w:ilvl w:val="0"/>
          <w:numId w:val="3"/>
        </w:numPr>
        <w:jc w:val="both"/>
        <w:rPr>
          <w:sz w:val="24"/>
          <w:szCs w:val="24"/>
        </w:rPr>
      </w:pPr>
      <w:r w:rsidRPr="00C0419B">
        <w:rPr>
          <w:sz w:val="24"/>
          <w:szCs w:val="24"/>
          <w:lang w:val="uk-UA" w:eastAsia="uk-UA"/>
        </w:rPr>
        <w:t>встановлює порядок нарахування і сплати податку та розміри ставок земельного податку, який надходить до місцевого бюджету.</w:t>
      </w:r>
    </w:p>
    <w:p w:rsidR="00D71EC9" w:rsidRPr="00C0419B" w:rsidRDefault="00D71EC9" w:rsidP="00381727">
      <w:pPr>
        <w:pStyle w:val="BodyText"/>
        <w:spacing w:after="0"/>
        <w:ind w:firstLine="709"/>
        <w:jc w:val="both"/>
        <w:rPr>
          <w:sz w:val="24"/>
          <w:szCs w:val="24"/>
          <w:lang w:val="ru-RU"/>
        </w:rPr>
      </w:pPr>
    </w:p>
    <w:p w:rsidR="00D71EC9" w:rsidRPr="00C0419B" w:rsidRDefault="00D71EC9" w:rsidP="00006E5C">
      <w:pPr>
        <w:pStyle w:val="BodyText"/>
        <w:spacing w:after="0"/>
        <w:jc w:val="both"/>
        <w:rPr>
          <w:sz w:val="24"/>
          <w:szCs w:val="24"/>
        </w:rPr>
      </w:pPr>
      <w:r w:rsidRPr="00C0419B">
        <w:rPr>
          <w:rStyle w:val="Strong"/>
          <w:rFonts w:eastAsia="Times New Roman"/>
          <w:sz w:val="24"/>
          <w:szCs w:val="24"/>
          <w:shd w:val="clear" w:color="auto" w:fill="FFFFFF"/>
        </w:rPr>
        <w:t>I</w:t>
      </w:r>
      <w:r w:rsidRPr="00C0419B">
        <w:rPr>
          <w:rStyle w:val="Strong"/>
          <w:rFonts w:eastAsia="Times New Roman"/>
          <w:sz w:val="24"/>
          <w:szCs w:val="24"/>
          <w:shd w:val="clear" w:color="auto" w:fill="FFFFFF"/>
          <w:lang w:val="en-US"/>
        </w:rPr>
        <w:t>V</w:t>
      </w:r>
      <w:r w:rsidRPr="00C0419B">
        <w:rPr>
          <w:rStyle w:val="Strong"/>
          <w:rFonts w:eastAsia="Times New Roman"/>
          <w:sz w:val="24"/>
          <w:szCs w:val="24"/>
          <w:shd w:val="clear" w:color="auto" w:fill="FFFFFF"/>
        </w:rPr>
        <w:t xml:space="preserve">. </w:t>
      </w:r>
      <w:r w:rsidRPr="00C0419B">
        <w:rPr>
          <w:b/>
          <w:bCs/>
          <w:sz w:val="24"/>
          <w:szCs w:val="24"/>
        </w:rPr>
        <w:t>Механізм, який пропонується застосувати для розв’язання проблеми і відповідні заходи</w:t>
      </w:r>
    </w:p>
    <w:p w:rsidR="00D71EC9" w:rsidRPr="00C0419B" w:rsidRDefault="00D71EC9" w:rsidP="009E2113">
      <w:pPr>
        <w:pStyle w:val="NoSpacing"/>
        <w:ind w:firstLine="567"/>
        <w:jc w:val="both"/>
        <w:rPr>
          <w:lang w:val="uk-UA" w:eastAsia="uk-UA"/>
        </w:rPr>
      </w:pPr>
      <w:r w:rsidRPr="00C0419B">
        <w:rPr>
          <w:lang w:val="uk-UA" w:eastAsia="uk-UA"/>
        </w:rPr>
        <w:t xml:space="preserve">Вирішити питання встановлення розміру ставок земельного податку зі сплати за землю в громаді пропонується шляхом прийняття </w:t>
      </w:r>
      <w:r>
        <w:rPr>
          <w:lang w:val="uk-UA" w:eastAsia="uk-UA"/>
        </w:rPr>
        <w:t>вищевказаного</w:t>
      </w:r>
      <w:r w:rsidRPr="00C0419B">
        <w:rPr>
          <w:lang w:val="uk-UA" w:eastAsia="uk-UA"/>
        </w:rPr>
        <w:t xml:space="preserve"> розпорядження керівника </w:t>
      </w:r>
      <w:r>
        <w:rPr>
          <w:lang w:val="uk-UA" w:eastAsia="uk-UA"/>
        </w:rPr>
        <w:t>Нижньотеплівської сільської</w:t>
      </w:r>
      <w:r w:rsidRPr="00C0419B">
        <w:rPr>
          <w:lang w:val="uk-UA" w:eastAsia="uk-UA"/>
        </w:rPr>
        <w:t xml:space="preserve"> військово-цивільної адміністрації. Цей спосіб досягнення цілей є оптимальним шляхом вирішення проблеми й ґрунтується на загальнообов’язковості виконання норм </w:t>
      </w:r>
      <w:r>
        <w:rPr>
          <w:lang w:val="uk-UA" w:eastAsia="uk-UA"/>
        </w:rPr>
        <w:t>розпорядження</w:t>
      </w:r>
      <w:r w:rsidRPr="00C0419B">
        <w:rPr>
          <w:lang w:val="uk-UA" w:eastAsia="uk-UA"/>
        </w:rPr>
        <w:t xml:space="preserve"> всіма учасниками правовідносин у системі оподаткування. </w:t>
      </w:r>
    </w:p>
    <w:p w:rsidR="00D71EC9" w:rsidRPr="00E44279" w:rsidRDefault="00D71EC9" w:rsidP="00E44279">
      <w:pPr>
        <w:pStyle w:val="NoSpacing"/>
        <w:ind w:firstLine="567"/>
        <w:jc w:val="both"/>
        <w:rPr>
          <w:lang w:val="uk-UA" w:eastAsia="uk-UA"/>
        </w:rPr>
      </w:pPr>
      <w:r w:rsidRPr="00C0419B">
        <w:rPr>
          <w:lang w:val="uk-UA" w:eastAsia="uk-UA"/>
        </w:rPr>
        <w:t>При здійсненні регуляторної діяльності розглядаються обґрунтовані пропозиції та зауваження до про</w:t>
      </w:r>
      <w:r>
        <w:rPr>
          <w:lang w:val="uk-UA" w:eastAsia="uk-UA"/>
        </w:rPr>
        <w:t>е</w:t>
      </w:r>
      <w:r w:rsidRPr="00C0419B">
        <w:rPr>
          <w:lang w:val="uk-UA" w:eastAsia="uk-UA"/>
        </w:rPr>
        <w:t>кту розпорядження, надані суб’єктами господарювання, представниками територіальної громади в</w:t>
      </w:r>
      <w:r>
        <w:rPr>
          <w:lang w:val="uk-UA" w:eastAsia="uk-UA"/>
        </w:rPr>
        <w:t xml:space="preserve"> установленому законом порядку.</w:t>
      </w:r>
    </w:p>
    <w:p w:rsidR="00D71EC9" w:rsidRPr="00C0419B" w:rsidRDefault="00D71EC9" w:rsidP="00006E5C">
      <w:pPr>
        <w:pStyle w:val="NoSpacing"/>
        <w:ind w:firstLine="567"/>
        <w:jc w:val="both"/>
        <w:rPr>
          <w:lang w:val="uk-UA" w:eastAsia="uk-UA"/>
        </w:rPr>
      </w:pPr>
      <w:r w:rsidRPr="00C0419B">
        <w:rPr>
          <w:lang w:val="uk-UA" w:eastAsia="uk-UA"/>
        </w:rPr>
        <w:t>Задля забезпечення виконання вимог чинного законодавства України, документи з регуляторної діяльності оприлюднюються на офіційн</w:t>
      </w:r>
      <w:r>
        <w:rPr>
          <w:lang w:val="uk-UA" w:eastAsia="uk-UA"/>
        </w:rPr>
        <w:t>ому</w:t>
      </w:r>
      <w:r w:rsidRPr="00C0419B">
        <w:rPr>
          <w:lang w:val="uk-UA" w:eastAsia="uk-UA"/>
        </w:rPr>
        <w:t xml:space="preserve"> </w:t>
      </w:r>
      <w:r>
        <w:rPr>
          <w:lang w:val="uk-UA" w:eastAsia="uk-UA"/>
        </w:rPr>
        <w:t>сайті</w:t>
      </w:r>
      <w:r w:rsidRPr="00C0419B">
        <w:rPr>
          <w:lang w:val="uk-UA" w:eastAsia="uk-UA"/>
        </w:rPr>
        <w:t xml:space="preserve"> </w:t>
      </w:r>
      <w:r>
        <w:rPr>
          <w:lang w:val="uk-UA" w:eastAsia="uk-UA"/>
        </w:rPr>
        <w:t>Нижньотеплівської сільської</w:t>
      </w:r>
      <w:r w:rsidRPr="00C0419B">
        <w:rPr>
          <w:lang w:val="uk-UA" w:eastAsia="uk-UA"/>
        </w:rPr>
        <w:t xml:space="preserve"> військово-цивільної адміністрації Щастинського району Луганської області в мережі Інтернет за адресою: </w:t>
      </w:r>
      <w:r>
        <w:rPr>
          <w:lang w:val="en-US" w:eastAsia="uk-UA"/>
        </w:rPr>
        <w:t>www</w:t>
      </w:r>
      <w:r w:rsidRPr="00972DCD">
        <w:rPr>
          <w:lang w:val="uk-UA" w:eastAsia="uk-UA"/>
        </w:rPr>
        <w:t>.</w:t>
      </w:r>
      <w:r>
        <w:rPr>
          <w:lang w:val="en-US" w:eastAsia="uk-UA"/>
        </w:rPr>
        <w:t>niznioteple</w:t>
      </w:r>
      <w:r w:rsidRPr="00972DCD">
        <w:rPr>
          <w:lang w:val="uk-UA" w:eastAsia="uk-UA"/>
        </w:rPr>
        <w:t>-</w:t>
      </w:r>
      <w:r>
        <w:rPr>
          <w:lang w:val="en-US" w:eastAsia="uk-UA"/>
        </w:rPr>
        <w:t>gr</w:t>
      </w:r>
      <w:r w:rsidRPr="007F6EFA">
        <w:rPr>
          <w:lang w:val="uk-UA" w:eastAsia="uk-UA"/>
        </w:rPr>
        <w:t>.</w:t>
      </w:r>
      <w:r>
        <w:rPr>
          <w:lang w:val="en-US" w:eastAsia="uk-UA"/>
        </w:rPr>
        <w:t>org</w:t>
      </w:r>
      <w:r w:rsidRPr="00C0419B">
        <w:rPr>
          <w:lang w:val="uk-UA" w:eastAsia="uk-UA"/>
        </w:rPr>
        <w:t xml:space="preserve">,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D71EC9" w:rsidRPr="00C0419B" w:rsidRDefault="00D71EC9" w:rsidP="00006E5C">
      <w:pPr>
        <w:pStyle w:val="NoSpacing"/>
        <w:ind w:firstLine="567"/>
        <w:jc w:val="both"/>
        <w:rPr>
          <w:lang w:val="uk-UA" w:eastAsia="uk-UA"/>
        </w:rPr>
      </w:pPr>
      <w:r w:rsidRPr="00C0419B">
        <w:rPr>
          <w:lang w:val="uk-UA" w:eastAsia="uk-UA"/>
        </w:rPr>
        <w:t xml:space="preserve">Рівень проінформованості є досить високим, оскільки мешканці активно користуються офіційними вебсторінками </w:t>
      </w:r>
      <w:r>
        <w:rPr>
          <w:lang w:val="uk-UA" w:eastAsia="uk-UA"/>
        </w:rPr>
        <w:t>Нижньотеплівської сільської</w:t>
      </w:r>
      <w:r w:rsidRPr="00C0419B">
        <w:rPr>
          <w:lang w:val="uk-UA" w:eastAsia="uk-UA"/>
        </w:rPr>
        <w:t xml:space="preserve"> військово-цивільної адміністрації Щастинського району Луганської області. </w:t>
      </w:r>
    </w:p>
    <w:p w:rsidR="00D71EC9" w:rsidRPr="00C0419B" w:rsidRDefault="00D71EC9" w:rsidP="00006E5C">
      <w:pPr>
        <w:pStyle w:val="NoSpacing"/>
        <w:ind w:firstLine="567"/>
        <w:jc w:val="both"/>
        <w:rPr>
          <w:lang w:val="uk-UA"/>
        </w:rPr>
      </w:pPr>
      <w:r w:rsidRPr="00C0419B">
        <w:t xml:space="preserve">Таким чином, впровадження регуляторного акта забезпечить дотримання норм чинного податкового законодавства як органами державної податкової служби, органами </w:t>
      </w:r>
      <w:r>
        <w:rPr>
          <w:lang w:val="uk-UA"/>
        </w:rPr>
        <w:t>влади місцевого рівня</w:t>
      </w:r>
      <w:r w:rsidRPr="00C0419B">
        <w:t>, так і платниками земельного податку.</w:t>
      </w:r>
    </w:p>
    <w:p w:rsidR="00D71EC9" w:rsidRPr="00C0419B" w:rsidRDefault="00D71EC9" w:rsidP="009E2113">
      <w:pPr>
        <w:pStyle w:val="NoSpacing"/>
        <w:jc w:val="both"/>
        <w:rPr>
          <w:lang w:val="uk-UA"/>
        </w:rPr>
      </w:pPr>
    </w:p>
    <w:p w:rsidR="00D71EC9" w:rsidRPr="00C0419B" w:rsidRDefault="00D71EC9" w:rsidP="00006E5C">
      <w:pPr>
        <w:pStyle w:val="BodyText"/>
        <w:spacing w:after="0"/>
        <w:jc w:val="both"/>
        <w:rPr>
          <w:sz w:val="24"/>
          <w:szCs w:val="24"/>
        </w:rPr>
      </w:pPr>
      <w:r w:rsidRPr="00C0419B">
        <w:rPr>
          <w:rStyle w:val="Strong"/>
          <w:rFonts w:eastAsia="Times New Roman"/>
          <w:sz w:val="24"/>
          <w:szCs w:val="24"/>
          <w:shd w:val="clear" w:color="auto" w:fill="FFFFFF"/>
          <w:lang w:val="en-US"/>
        </w:rPr>
        <w:t>V</w:t>
      </w:r>
      <w:r w:rsidRPr="00C0419B">
        <w:rPr>
          <w:rStyle w:val="Strong"/>
          <w:rFonts w:eastAsia="Times New Roman"/>
          <w:sz w:val="24"/>
          <w:szCs w:val="24"/>
          <w:shd w:val="clear" w:color="auto" w:fill="FFFFFF"/>
        </w:rPr>
        <w:t xml:space="preserve">. </w:t>
      </w:r>
      <w:r w:rsidRPr="00C0419B">
        <w:rPr>
          <w:b/>
          <w:bCs/>
          <w:sz w:val="24"/>
          <w:szCs w:val="24"/>
        </w:rPr>
        <w:t>Обґрунтування можливості досягнення визначених цілей у разі прийняття регуляторного акту</w:t>
      </w:r>
    </w:p>
    <w:p w:rsidR="00D71EC9" w:rsidRPr="00C0419B" w:rsidRDefault="00D71EC9" w:rsidP="00233A63">
      <w:pPr>
        <w:ind w:firstLine="567"/>
        <w:jc w:val="both"/>
        <w:rPr>
          <w:sz w:val="24"/>
          <w:szCs w:val="24"/>
        </w:rPr>
      </w:pPr>
      <w:r w:rsidRPr="00C0419B">
        <w:rPr>
          <w:sz w:val="24"/>
          <w:szCs w:val="24"/>
        </w:rPr>
        <w:t>Ймовірність досягнення цілей розпорядження ґрунтується на високій мотивації суб’єктів господарювання стосовно виконання вимог акту, яка полягає у:</w:t>
      </w:r>
    </w:p>
    <w:p w:rsidR="00D71EC9" w:rsidRPr="00C0419B" w:rsidRDefault="00D71EC9" w:rsidP="00233A63">
      <w:pPr>
        <w:pStyle w:val="ListParagraph"/>
        <w:numPr>
          <w:ilvl w:val="0"/>
          <w:numId w:val="3"/>
        </w:numPr>
        <w:jc w:val="both"/>
        <w:rPr>
          <w:sz w:val="24"/>
          <w:szCs w:val="24"/>
        </w:rPr>
      </w:pPr>
      <w:r w:rsidRPr="00C0419B">
        <w:rPr>
          <w:sz w:val="24"/>
          <w:szCs w:val="24"/>
        </w:rPr>
        <w:t>простоті та доступності положень розпорядження;</w:t>
      </w:r>
    </w:p>
    <w:p w:rsidR="00D71EC9" w:rsidRPr="00C0419B" w:rsidRDefault="00D71EC9" w:rsidP="00233A63">
      <w:pPr>
        <w:pStyle w:val="ListParagraph"/>
        <w:numPr>
          <w:ilvl w:val="0"/>
          <w:numId w:val="3"/>
        </w:numPr>
        <w:jc w:val="both"/>
        <w:rPr>
          <w:sz w:val="24"/>
          <w:szCs w:val="24"/>
        </w:rPr>
      </w:pPr>
      <w:r w:rsidRPr="00C0419B">
        <w:rPr>
          <w:sz w:val="24"/>
          <w:szCs w:val="24"/>
        </w:rPr>
        <w:t>простоті виконання вимог розпорядження;</w:t>
      </w:r>
    </w:p>
    <w:p w:rsidR="00D71EC9" w:rsidRPr="00C0419B" w:rsidRDefault="00D71EC9" w:rsidP="00233A63">
      <w:pPr>
        <w:pStyle w:val="ListParagraph"/>
        <w:numPr>
          <w:ilvl w:val="0"/>
          <w:numId w:val="3"/>
        </w:numPr>
        <w:jc w:val="both"/>
        <w:rPr>
          <w:sz w:val="24"/>
          <w:szCs w:val="24"/>
        </w:rPr>
      </w:pPr>
      <w:r w:rsidRPr="00C0419B">
        <w:rPr>
          <w:sz w:val="24"/>
          <w:szCs w:val="24"/>
        </w:rPr>
        <w:t>врегулювання прав і обов’язків суб’єктів господарювання, на яких  поширюється дане розпорядження;</w:t>
      </w:r>
    </w:p>
    <w:p w:rsidR="00D71EC9" w:rsidRPr="00C0419B" w:rsidRDefault="00D71EC9" w:rsidP="00233A63">
      <w:pPr>
        <w:pStyle w:val="ListParagraph"/>
        <w:numPr>
          <w:ilvl w:val="0"/>
          <w:numId w:val="3"/>
        </w:numPr>
        <w:jc w:val="both"/>
        <w:rPr>
          <w:sz w:val="24"/>
          <w:szCs w:val="24"/>
        </w:rPr>
      </w:pPr>
      <w:r w:rsidRPr="00C0419B">
        <w:rPr>
          <w:sz w:val="24"/>
          <w:szCs w:val="24"/>
        </w:rPr>
        <w:t>встановлення чіткого порядку розрахунку земельного податку за земельні ділянки державної, комунальної власності або приватної власності.</w:t>
      </w:r>
    </w:p>
    <w:p w:rsidR="00D71EC9" w:rsidRPr="00C0419B" w:rsidRDefault="00D71EC9" w:rsidP="00233A63">
      <w:pPr>
        <w:ind w:firstLine="567"/>
        <w:jc w:val="both"/>
        <w:rPr>
          <w:sz w:val="24"/>
          <w:szCs w:val="24"/>
        </w:rPr>
      </w:pPr>
      <w:r w:rsidRPr="00C0419B">
        <w:rPr>
          <w:sz w:val="24"/>
          <w:szCs w:val="24"/>
        </w:rPr>
        <w:t>Можлива шкода у разі настання очікуваних наслідків дії акту не прогнозується.</w:t>
      </w:r>
    </w:p>
    <w:p w:rsidR="00D71EC9" w:rsidRPr="00C0419B" w:rsidRDefault="00D71EC9" w:rsidP="00233A63">
      <w:pPr>
        <w:jc w:val="both"/>
        <w:rPr>
          <w:sz w:val="24"/>
          <w:szCs w:val="24"/>
        </w:rPr>
      </w:pPr>
    </w:p>
    <w:p w:rsidR="00D71EC9" w:rsidRPr="00C0419B" w:rsidRDefault="00D71EC9" w:rsidP="00006E5C">
      <w:pPr>
        <w:pStyle w:val="BodyText"/>
        <w:spacing w:after="0"/>
        <w:jc w:val="both"/>
        <w:rPr>
          <w:sz w:val="24"/>
          <w:szCs w:val="24"/>
        </w:rPr>
      </w:pPr>
      <w:r w:rsidRPr="00C0419B">
        <w:rPr>
          <w:rStyle w:val="Strong"/>
          <w:rFonts w:eastAsia="Times New Roman"/>
          <w:sz w:val="24"/>
          <w:szCs w:val="24"/>
          <w:shd w:val="clear" w:color="auto" w:fill="FFFFFF"/>
          <w:lang w:val="en-US"/>
        </w:rPr>
        <w:t>V</w:t>
      </w:r>
      <w:r w:rsidRPr="00C0419B">
        <w:rPr>
          <w:rStyle w:val="Strong"/>
          <w:rFonts w:eastAsia="Times New Roman"/>
          <w:sz w:val="24"/>
          <w:szCs w:val="24"/>
          <w:shd w:val="clear" w:color="auto" w:fill="FFFFFF"/>
        </w:rPr>
        <w:t xml:space="preserve">І. </w:t>
      </w:r>
      <w:r w:rsidRPr="00C0419B">
        <w:rPr>
          <w:b/>
          <w:bCs/>
          <w:sz w:val="24"/>
          <w:szCs w:val="24"/>
        </w:rPr>
        <w:t>Визначення очікуваних результатів прийняття регуляторного акту</w:t>
      </w:r>
    </w:p>
    <w:p w:rsidR="00D71EC9" w:rsidRPr="00C0419B" w:rsidRDefault="00D71EC9" w:rsidP="00233A63">
      <w:pPr>
        <w:ind w:firstLine="567"/>
        <w:jc w:val="both"/>
        <w:rPr>
          <w:sz w:val="24"/>
          <w:szCs w:val="24"/>
          <w:lang w:eastAsia="ar-SA"/>
        </w:rPr>
      </w:pPr>
      <w:r w:rsidRPr="00C0419B">
        <w:rPr>
          <w:sz w:val="24"/>
          <w:szCs w:val="24"/>
          <w:lang w:eastAsia="ar-SA"/>
        </w:rPr>
        <w:t xml:space="preserve">У разі запровадження запропонованого проекту розпорядження </w:t>
      </w:r>
      <w:r w:rsidRPr="00C0419B">
        <w:rPr>
          <w:sz w:val="24"/>
          <w:szCs w:val="24"/>
        </w:rPr>
        <w:t xml:space="preserve">«Про встановлення ставок земельного податку та надання пільг зі сплати земельного податку по </w:t>
      </w:r>
      <w:r>
        <w:rPr>
          <w:sz w:val="24"/>
          <w:szCs w:val="24"/>
        </w:rPr>
        <w:t>Нижньотеплівській сільській</w:t>
      </w:r>
      <w:r w:rsidRPr="00C0419B">
        <w:rPr>
          <w:sz w:val="24"/>
          <w:szCs w:val="24"/>
        </w:rPr>
        <w:t xml:space="preserve"> територіальній громаді на 2022рік», </w:t>
      </w:r>
      <w:r w:rsidRPr="00C0419B">
        <w:rPr>
          <w:sz w:val="24"/>
          <w:szCs w:val="24"/>
          <w:lang w:eastAsia="ar-SA"/>
        </w:rPr>
        <w:t>очікується наступний результат:</w:t>
      </w:r>
    </w:p>
    <w:p w:rsidR="00D71EC9" w:rsidRPr="00C0419B" w:rsidRDefault="00D71EC9" w:rsidP="00233A63">
      <w:pPr>
        <w:ind w:firstLine="567"/>
        <w:jc w:val="both"/>
        <w:rPr>
          <w:sz w:val="24"/>
          <w:szCs w:val="24"/>
        </w:rPr>
      </w:pPr>
      <w:r w:rsidRPr="00C0419B">
        <w:rPr>
          <w:sz w:val="24"/>
          <w:szCs w:val="24"/>
          <w:lang w:eastAsia="ar-SA"/>
        </w:rPr>
        <w:t>1. Відповідність розмірів ставок земельного податку діючому законодавству, зокрема Закону України «Про засади державної регуляторної політики у сфері господарської діяльності» та</w:t>
      </w:r>
      <w:r w:rsidRPr="00C0419B">
        <w:rPr>
          <w:sz w:val="24"/>
          <w:szCs w:val="24"/>
        </w:rPr>
        <w:t xml:space="preserve"> статей 7, пункту 10.2 статті 10, пунктам 12.3–12.5 статті 12, статей 269–287 Податкового Кодексу України, </w:t>
      </w:r>
      <w:r w:rsidRPr="00C0419B">
        <w:rPr>
          <w:sz w:val="24"/>
          <w:szCs w:val="24"/>
          <w:lang w:eastAsia="ar-SA"/>
        </w:rPr>
        <w:t>зі змінами та доповненнями.</w:t>
      </w:r>
    </w:p>
    <w:p w:rsidR="00D71EC9" w:rsidRPr="00C0419B" w:rsidRDefault="00D71EC9" w:rsidP="00233A63">
      <w:pPr>
        <w:suppressAutoHyphens/>
        <w:ind w:firstLine="567"/>
        <w:jc w:val="both"/>
        <w:rPr>
          <w:sz w:val="24"/>
          <w:szCs w:val="24"/>
          <w:lang w:eastAsia="ar-SA"/>
        </w:rPr>
      </w:pPr>
      <w:r w:rsidRPr="00C0419B">
        <w:rPr>
          <w:sz w:val="24"/>
          <w:szCs w:val="24"/>
          <w:lang w:eastAsia="ar-SA"/>
        </w:rPr>
        <w:t xml:space="preserve">2. Надходження коштів до місцевого бюджету від сплати земельного податку з метою їх подальшого спрямування на соціально-економічний розвиток населених пунктів, які увійшли до складу </w:t>
      </w:r>
      <w:r>
        <w:rPr>
          <w:sz w:val="24"/>
          <w:szCs w:val="24"/>
          <w:lang w:eastAsia="ar-SA"/>
        </w:rPr>
        <w:t xml:space="preserve"> Нижньотеплівської сільської</w:t>
      </w:r>
      <w:r w:rsidRPr="00C0419B">
        <w:rPr>
          <w:sz w:val="24"/>
          <w:szCs w:val="24"/>
          <w:lang w:eastAsia="ar-SA"/>
        </w:rPr>
        <w:t xml:space="preserve"> територіальної громади та інші необхідні цілі за потребою.</w:t>
      </w:r>
    </w:p>
    <w:p w:rsidR="00D71EC9" w:rsidRPr="00C0419B" w:rsidRDefault="00D71EC9" w:rsidP="00233A63">
      <w:pPr>
        <w:suppressAutoHyphens/>
        <w:ind w:firstLine="567"/>
        <w:jc w:val="both"/>
        <w:rPr>
          <w:sz w:val="24"/>
          <w:szCs w:val="24"/>
          <w:lang w:eastAsia="ar-SA"/>
        </w:rPr>
      </w:pPr>
      <w:r w:rsidRPr="00C0419B">
        <w:rPr>
          <w:sz w:val="24"/>
          <w:szCs w:val="24"/>
          <w:lang w:eastAsia="ar-SA"/>
        </w:rPr>
        <w:t xml:space="preserve">3. </w:t>
      </w:r>
      <w:r>
        <w:rPr>
          <w:sz w:val="24"/>
          <w:szCs w:val="24"/>
          <w:lang w:eastAsia="ar-SA"/>
        </w:rPr>
        <w:t>Можливість збільшення обсягів фінансування заходів, передбачених</w:t>
      </w:r>
      <w:r w:rsidRPr="00C0419B">
        <w:rPr>
          <w:sz w:val="24"/>
          <w:szCs w:val="24"/>
          <w:lang w:eastAsia="ar-SA"/>
        </w:rPr>
        <w:t xml:space="preserve"> </w:t>
      </w:r>
      <w:r>
        <w:rPr>
          <w:sz w:val="24"/>
          <w:szCs w:val="24"/>
          <w:lang w:eastAsia="ar-SA"/>
        </w:rPr>
        <w:t>програмою</w:t>
      </w:r>
      <w:r w:rsidRPr="00C0419B">
        <w:rPr>
          <w:sz w:val="24"/>
          <w:szCs w:val="24"/>
          <w:lang w:eastAsia="ar-SA"/>
        </w:rPr>
        <w:t xml:space="preserve"> економічного та соціального розвитку с</w:t>
      </w:r>
      <w:r>
        <w:rPr>
          <w:sz w:val="24"/>
          <w:szCs w:val="24"/>
          <w:lang w:eastAsia="ar-SA"/>
        </w:rPr>
        <w:t>ільської</w:t>
      </w:r>
      <w:r w:rsidRPr="00C0419B">
        <w:rPr>
          <w:sz w:val="24"/>
          <w:szCs w:val="24"/>
          <w:lang w:eastAsia="ar-SA"/>
        </w:rPr>
        <w:t xml:space="preserve"> територіальної громади.</w:t>
      </w:r>
    </w:p>
    <w:p w:rsidR="00D71EC9" w:rsidRPr="00C0419B" w:rsidRDefault="00D71EC9" w:rsidP="00233A63">
      <w:pPr>
        <w:suppressAutoHyphens/>
        <w:ind w:firstLine="567"/>
        <w:jc w:val="both"/>
        <w:rPr>
          <w:sz w:val="24"/>
          <w:szCs w:val="24"/>
          <w:lang w:eastAsia="ar-SA"/>
        </w:rPr>
      </w:pPr>
    </w:p>
    <w:p w:rsidR="00D71EC9" w:rsidRPr="00C0419B" w:rsidRDefault="00D71EC9" w:rsidP="00781BCA">
      <w:pPr>
        <w:pStyle w:val="BodyText"/>
        <w:spacing w:after="0"/>
        <w:jc w:val="both"/>
        <w:rPr>
          <w:sz w:val="24"/>
          <w:szCs w:val="24"/>
        </w:rPr>
      </w:pPr>
      <w:r w:rsidRPr="00C0419B">
        <w:rPr>
          <w:sz w:val="24"/>
          <w:szCs w:val="24"/>
        </w:rPr>
        <w:t>1. Визначення альтернативних способів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34"/>
        <w:gridCol w:w="5920"/>
      </w:tblGrid>
      <w:tr w:rsidR="00D71EC9" w:rsidRPr="00C0419B">
        <w:trPr>
          <w:trHeight w:val="20"/>
          <w:jc w:val="center"/>
        </w:trPr>
        <w:tc>
          <w:tcPr>
            <w:tcW w:w="1934" w:type="pct"/>
            <w:tcBorders>
              <w:top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Вид альтернативи</w:t>
            </w:r>
          </w:p>
        </w:tc>
        <w:tc>
          <w:tcPr>
            <w:tcW w:w="3066" w:type="pct"/>
            <w:tcBorders>
              <w:top w:val="outset" w:sz="6" w:space="0" w:color="auto"/>
              <w:left w:val="outset" w:sz="6" w:space="0" w:color="auto"/>
              <w:bottom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Опис альтернативи</w:t>
            </w:r>
          </w:p>
        </w:tc>
      </w:tr>
      <w:tr w:rsidR="00D71EC9" w:rsidRPr="00C0419B">
        <w:trPr>
          <w:trHeight w:val="20"/>
          <w:jc w:val="center"/>
        </w:trPr>
        <w:tc>
          <w:tcPr>
            <w:tcW w:w="1934" w:type="pct"/>
            <w:tcBorders>
              <w:top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Альтернатива 1</w:t>
            </w:r>
          </w:p>
          <w:p w:rsidR="00D71EC9" w:rsidRPr="00C0419B" w:rsidRDefault="00D71EC9" w:rsidP="00956680">
            <w:pPr>
              <w:pStyle w:val="BodyText"/>
              <w:spacing w:after="0"/>
              <w:jc w:val="center"/>
              <w:rPr>
                <w:sz w:val="24"/>
                <w:szCs w:val="24"/>
              </w:rPr>
            </w:pPr>
            <w:r w:rsidRPr="00C0419B">
              <w:rPr>
                <w:sz w:val="24"/>
                <w:szCs w:val="24"/>
              </w:rPr>
              <w:t>Не прийняття регуляторного акта (залишення існуючої на даний момент ситуації без змін)</w:t>
            </w:r>
          </w:p>
        </w:tc>
        <w:tc>
          <w:tcPr>
            <w:tcW w:w="3066" w:type="pct"/>
            <w:tcBorders>
              <w:top w:val="outset" w:sz="6" w:space="0" w:color="auto"/>
              <w:left w:val="outset" w:sz="6" w:space="0" w:color="auto"/>
              <w:bottom w:val="outset" w:sz="6" w:space="0" w:color="auto"/>
            </w:tcBorders>
            <w:shd w:val="clear" w:color="auto" w:fill="FFFFFF"/>
            <w:vAlign w:val="center"/>
          </w:tcPr>
          <w:p w:rsidR="00D71EC9" w:rsidRPr="00C0419B" w:rsidRDefault="00D71EC9" w:rsidP="00E44279">
            <w:pPr>
              <w:pStyle w:val="Heading2"/>
            </w:pPr>
            <w:r w:rsidRPr="00C0419B">
              <w:t xml:space="preserve">По закінченню 2021 року діючі на території </w:t>
            </w:r>
            <w:r>
              <w:t xml:space="preserve"> Нижньотеплівської сільської</w:t>
            </w:r>
            <w:r w:rsidRPr="00C0419B">
              <w:t xml:space="preserve"> територіальної громади рішення про встановлення </w:t>
            </w:r>
            <w:r w:rsidRPr="00C0419B">
              <w:rPr>
                <w:rFonts w:eastAsia="Times New Roman"/>
                <w:shd w:val="clear" w:color="auto" w:fill="FFFFFF"/>
              </w:rPr>
              <w:t xml:space="preserve">ставок земельного податку та надання пільг зі сплати земельного податку </w:t>
            </w:r>
            <w:r w:rsidRPr="00C0419B">
              <w:t>мають бути скасовані так як два нормативні акти на території однієї громади існувати не можуть. Таким чином, дане питання залишається без належного врегулювання.</w:t>
            </w:r>
          </w:p>
        </w:tc>
      </w:tr>
      <w:tr w:rsidR="00D71EC9" w:rsidRPr="00C0419B">
        <w:trPr>
          <w:trHeight w:val="20"/>
          <w:jc w:val="center"/>
        </w:trPr>
        <w:tc>
          <w:tcPr>
            <w:tcW w:w="1934" w:type="pct"/>
            <w:tcBorders>
              <w:top w:val="outset" w:sz="6" w:space="0" w:color="auto"/>
              <w:bottom w:val="outset" w:sz="6" w:space="0" w:color="auto"/>
              <w:right w:val="outset" w:sz="6" w:space="0" w:color="auto"/>
            </w:tcBorders>
            <w:shd w:val="clear" w:color="auto" w:fill="FFFFFF"/>
            <w:vAlign w:val="center"/>
          </w:tcPr>
          <w:p w:rsidR="00D71EC9" w:rsidRPr="00C0419B" w:rsidRDefault="00D71EC9" w:rsidP="00F06390">
            <w:pPr>
              <w:pStyle w:val="BodyText"/>
              <w:spacing w:after="0"/>
              <w:jc w:val="center"/>
              <w:rPr>
                <w:sz w:val="24"/>
                <w:szCs w:val="24"/>
              </w:rPr>
            </w:pPr>
            <w:r w:rsidRPr="00C0419B">
              <w:rPr>
                <w:sz w:val="24"/>
                <w:szCs w:val="24"/>
              </w:rPr>
              <w:t>Альтернатива 2</w:t>
            </w:r>
          </w:p>
          <w:p w:rsidR="00D71EC9" w:rsidRPr="00C0419B" w:rsidRDefault="00D71EC9" w:rsidP="002B20EE">
            <w:pPr>
              <w:pStyle w:val="BodyText"/>
              <w:spacing w:after="0"/>
              <w:jc w:val="center"/>
              <w:rPr>
                <w:sz w:val="24"/>
                <w:szCs w:val="24"/>
              </w:rPr>
            </w:pPr>
            <w:r w:rsidRPr="00C0419B">
              <w:rPr>
                <w:sz w:val="24"/>
                <w:szCs w:val="24"/>
              </w:rPr>
              <w:t>Прийняття регуляторного акта відповідно до Податкового кодексу України з діючими у 202</w:t>
            </w:r>
            <w:r w:rsidRPr="00C0419B">
              <w:rPr>
                <w:sz w:val="24"/>
                <w:szCs w:val="24"/>
                <w:lang w:val="ru-RU"/>
              </w:rPr>
              <w:t>2</w:t>
            </w:r>
            <w:r w:rsidRPr="00C0419B">
              <w:rPr>
                <w:sz w:val="24"/>
                <w:szCs w:val="24"/>
              </w:rPr>
              <w:t xml:space="preserve"> році</w:t>
            </w:r>
          </w:p>
        </w:tc>
        <w:tc>
          <w:tcPr>
            <w:tcW w:w="3066" w:type="pct"/>
            <w:tcBorders>
              <w:top w:val="outset" w:sz="6" w:space="0" w:color="auto"/>
              <w:left w:val="outset" w:sz="6" w:space="0" w:color="auto"/>
              <w:bottom w:val="outset" w:sz="6" w:space="0" w:color="auto"/>
            </w:tcBorders>
            <w:shd w:val="clear" w:color="auto" w:fill="FFFFFF"/>
            <w:vAlign w:val="center"/>
          </w:tcPr>
          <w:p w:rsidR="00D71EC9" w:rsidRPr="00C0419B" w:rsidRDefault="00D71EC9" w:rsidP="00A44D48">
            <w:pPr>
              <w:pStyle w:val="BodyText"/>
              <w:spacing w:after="0"/>
              <w:jc w:val="both"/>
              <w:rPr>
                <w:sz w:val="24"/>
                <w:szCs w:val="24"/>
              </w:rPr>
            </w:pPr>
            <w:r w:rsidRPr="00C0419B">
              <w:rPr>
                <w:sz w:val="24"/>
                <w:szCs w:val="24"/>
              </w:rPr>
              <w:t>Прогнозовані встановлені ставки земельного податку надають підстави для збільшення надходжень до бюджету територіальної громади. Належне фінансування програм</w:t>
            </w:r>
            <w:r>
              <w:rPr>
                <w:sz w:val="24"/>
                <w:szCs w:val="24"/>
              </w:rPr>
              <w:t xml:space="preserve">и </w:t>
            </w:r>
            <w:r w:rsidRPr="00C0419B">
              <w:rPr>
                <w:sz w:val="24"/>
                <w:szCs w:val="24"/>
              </w:rPr>
              <w:t xml:space="preserve"> соціально-економічного розвитку громади</w:t>
            </w:r>
            <w:r>
              <w:rPr>
                <w:sz w:val="24"/>
                <w:szCs w:val="24"/>
              </w:rPr>
              <w:t xml:space="preserve"> та інших заходів, спрямованих на її розвиток</w:t>
            </w:r>
          </w:p>
        </w:tc>
      </w:tr>
    </w:tbl>
    <w:p w:rsidR="00D71EC9" w:rsidRPr="00C0419B" w:rsidRDefault="00D71EC9" w:rsidP="00896FFB">
      <w:pPr>
        <w:pStyle w:val="BodyText"/>
        <w:spacing w:after="0"/>
        <w:rPr>
          <w:sz w:val="24"/>
          <w:szCs w:val="24"/>
        </w:rPr>
      </w:pPr>
    </w:p>
    <w:p w:rsidR="00D71EC9" w:rsidRPr="00C0419B" w:rsidRDefault="00D71EC9" w:rsidP="00781BCA">
      <w:pPr>
        <w:pStyle w:val="BodyText"/>
        <w:spacing w:after="0"/>
        <w:ind w:firstLine="709"/>
        <w:jc w:val="both"/>
        <w:rPr>
          <w:sz w:val="24"/>
          <w:szCs w:val="24"/>
        </w:rPr>
      </w:pPr>
      <w:r w:rsidRPr="00C0419B">
        <w:rPr>
          <w:sz w:val="24"/>
          <w:szCs w:val="24"/>
        </w:rPr>
        <w:t>2. Оцінка вибраних альтернативних способів досягнення цілей</w:t>
      </w:r>
    </w:p>
    <w:p w:rsidR="00D71EC9" w:rsidRPr="00C0419B" w:rsidRDefault="00D71EC9" w:rsidP="00781BCA">
      <w:pPr>
        <w:pStyle w:val="BodyText"/>
        <w:spacing w:after="0"/>
        <w:ind w:firstLine="709"/>
        <w:jc w:val="both"/>
        <w:rPr>
          <w:sz w:val="24"/>
          <w:szCs w:val="24"/>
        </w:rPr>
      </w:pPr>
    </w:p>
    <w:p w:rsidR="00D71EC9" w:rsidRPr="00C0419B" w:rsidRDefault="00D71EC9" w:rsidP="00781BCA">
      <w:pPr>
        <w:pStyle w:val="BodyText"/>
        <w:spacing w:after="0"/>
        <w:ind w:firstLine="709"/>
        <w:jc w:val="both"/>
        <w:rPr>
          <w:sz w:val="24"/>
          <w:szCs w:val="24"/>
        </w:rPr>
      </w:pPr>
      <w:r w:rsidRPr="00C0419B">
        <w:rPr>
          <w:sz w:val="24"/>
          <w:szCs w:val="24"/>
        </w:rPr>
        <w:t>Опис вигід та витрат за кожною альтернативою для сфер інтересів держави, громадян та суб'єктів господарювання.</w:t>
      </w:r>
    </w:p>
    <w:p w:rsidR="00D71EC9" w:rsidRPr="00C0419B" w:rsidRDefault="00D71EC9" w:rsidP="00781BCA">
      <w:pPr>
        <w:pStyle w:val="BodyText"/>
        <w:spacing w:after="0"/>
        <w:ind w:firstLine="709"/>
        <w:jc w:val="both"/>
        <w:rPr>
          <w:sz w:val="24"/>
          <w:szCs w:val="24"/>
        </w:rPr>
      </w:pPr>
    </w:p>
    <w:p w:rsidR="00D71EC9" w:rsidRPr="00C0419B" w:rsidRDefault="00D71EC9" w:rsidP="00781BCA">
      <w:pPr>
        <w:pStyle w:val="BodyText"/>
        <w:spacing w:after="0"/>
        <w:ind w:firstLine="709"/>
        <w:jc w:val="both"/>
        <w:rPr>
          <w:sz w:val="24"/>
          <w:szCs w:val="24"/>
        </w:rPr>
      </w:pPr>
      <w:r w:rsidRPr="00C0419B">
        <w:rPr>
          <w:sz w:val="24"/>
          <w:szCs w:val="24"/>
        </w:rPr>
        <w:t>Оцінка впливу на сферу інтересів держави</w:t>
      </w:r>
    </w:p>
    <w:p w:rsidR="00D71EC9" w:rsidRPr="00C0419B" w:rsidRDefault="00D71EC9" w:rsidP="00781BCA">
      <w:pPr>
        <w:pStyle w:val="BodyText"/>
        <w:spacing w:after="0"/>
        <w:ind w:firstLine="709"/>
        <w:jc w:val="both"/>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84"/>
        <w:gridCol w:w="6079"/>
        <w:gridCol w:w="891"/>
      </w:tblGrid>
      <w:tr w:rsidR="00D71EC9" w:rsidRPr="00C0419B">
        <w:trPr>
          <w:trHeight w:val="20"/>
          <w:tblHeader/>
          <w:jc w:val="center"/>
        </w:trPr>
        <w:tc>
          <w:tcPr>
            <w:tcW w:w="0" w:type="auto"/>
            <w:tcBorders>
              <w:top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Вид альтернативи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Вигоди</w:t>
            </w:r>
          </w:p>
        </w:tc>
        <w:tc>
          <w:tcPr>
            <w:tcW w:w="0" w:type="auto"/>
            <w:tcBorders>
              <w:top w:val="outset" w:sz="6" w:space="0" w:color="auto"/>
              <w:left w:val="outset" w:sz="6" w:space="0" w:color="auto"/>
              <w:bottom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Витрати</w:t>
            </w:r>
          </w:p>
        </w:tc>
      </w:tr>
      <w:tr w:rsidR="00D71EC9" w:rsidRPr="00C0419B">
        <w:trPr>
          <w:trHeight w:val="20"/>
          <w:jc w:val="center"/>
        </w:trPr>
        <w:tc>
          <w:tcPr>
            <w:tcW w:w="0" w:type="auto"/>
            <w:tcBorders>
              <w:top w:val="outset" w:sz="6" w:space="0" w:color="auto"/>
              <w:bottom w:val="outset" w:sz="6" w:space="0" w:color="auto"/>
              <w:right w:val="outset" w:sz="6" w:space="0" w:color="auto"/>
            </w:tcBorders>
            <w:shd w:val="clear" w:color="auto" w:fill="FFFFFF"/>
            <w:vAlign w:val="center"/>
          </w:tcPr>
          <w:p w:rsidR="00D71EC9" w:rsidRPr="00C0419B" w:rsidRDefault="00D71EC9" w:rsidP="00F06390">
            <w:pPr>
              <w:pStyle w:val="BodyText"/>
              <w:spacing w:after="0"/>
              <w:jc w:val="center"/>
              <w:rPr>
                <w:sz w:val="24"/>
                <w:szCs w:val="24"/>
              </w:rPr>
            </w:pPr>
            <w:r w:rsidRPr="00C0419B">
              <w:rPr>
                <w:sz w:val="24"/>
                <w:szCs w:val="24"/>
              </w:rPr>
              <w:t>Альтернатива 1</w:t>
            </w:r>
          </w:p>
          <w:p w:rsidR="00D71EC9" w:rsidRPr="00C0419B" w:rsidRDefault="00D71EC9" w:rsidP="00956680">
            <w:pPr>
              <w:pStyle w:val="BodyText"/>
              <w:spacing w:after="0"/>
              <w:jc w:val="center"/>
              <w:rPr>
                <w:sz w:val="24"/>
                <w:szCs w:val="24"/>
              </w:rPr>
            </w:pPr>
            <w:r w:rsidRPr="00C0419B">
              <w:rPr>
                <w:sz w:val="24"/>
                <w:szCs w:val="24"/>
              </w:rPr>
              <w:t>Не прийняття регуляторного акта (залишення існуючої на даний момент ситуації без змін)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Відсутні</w:t>
            </w:r>
          </w:p>
        </w:tc>
        <w:tc>
          <w:tcPr>
            <w:tcW w:w="0" w:type="auto"/>
            <w:tcBorders>
              <w:top w:val="outset" w:sz="6" w:space="0" w:color="auto"/>
              <w:left w:val="outset" w:sz="6" w:space="0" w:color="auto"/>
              <w:bottom w:val="outset" w:sz="6" w:space="0" w:color="auto"/>
            </w:tcBorders>
            <w:shd w:val="clear" w:color="auto" w:fill="FFFFFF"/>
            <w:vAlign w:val="center"/>
          </w:tcPr>
          <w:p w:rsidR="00D71EC9" w:rsidRPr="00C0419B" w:rsidRDefault="00D71EC9" w:rsidP="00A44D48">
            <w:pPr>
              <w:pStyle w:val="BodyText"/>
              <w:spacing w:after="0"/>
              <w:jc w:val="both"/>
              <w:rPr>
                <w:sz w:val="24"/>
                <w:szCs w:val="24"/>
              </w:rPr>
            </w:pPr>
            <w:r w:rsidRPr="00C0419B">
              <w:rPr>
                <w:sz w:val="24"/>
                <w:szCs w:val="24"/>
              </w:rPr>
              <w:t>Відсутні</w:t>
            </w:r>
          </w:p>
        </w:tc>
      </w:tr>
      <w:tr w:rsidR="00D71EC9" w:rsidRPr="00C0419B">
        <w:trPr>
          <w:trHeight w:val="20"/>
          <w:jc w:val="center"/>
        </w:trPr>
        <w:tc>
          <w:tcPr>
            <w:tcW w:w="0" w:type="auto"/>
            <w:tcBorders>
              <w:top w:val="outset" w:sz="6" w:space="0" w:color="auto"/>
              <w:bottom w:val="outset" w:sz="6" w:space="0" w:color="auto"/>
              <w:right w:val="outset" w:sz="6" w:space="0" w:color="auto"/>
            </w:tcBorders>
            <w:shd w:val="clear" w:color="auto" w:fill="FFFFFF"/>
            <w:vAlign w:val="center"/>
          </w:tcPr>
          <w:p w:rsidR="00D71EC9" w:rsidRPr="00C0419B" w:rsidRDefault="00D71EC9" w:rsidP="00F06390">
            <w:pPr>
              <w:pStyle w:val="BodyText"/>
              <w:spacing w:after="0"/>
              <w:jc w:val="center"/>
              <w:rPr>
                <w:sz w:val="24"/>
                <w:szCs w:val="24"/>
              </w:rPr>
            </w:pPr>
            <w:r w:rsidRPr="00C0419B">
              <w:rPr>
                <w:sz w:val="24"/>
                <w:szCs w:val="24"/>
              </w:rPr>
              <w:t>Альтернатива 2</w:t>
            </w:r>
          </w:p>
          <w:p w:rsidR="00D71EC9" w:rsidRPr="00C0419B" w:rsidRDefault="00D71EC9" w:rsidP="00A44D48">
            <w:pPr>
              <w:pStyle w:val="BodyText"/>
              <w:spacing w:after="0"/>
              <w:jc w:val="center"/>
              <w:rPr>
                <w:sz w:val="24"/>
                <w:szCs w:val="24"/>
              </w:rPr>
            </w:pPr>
            <w:r w:rsidRPr="00C0419B">
              <w:rPr>
                <w:sz w:val="24"/>
                <w:szCs w:val="24"/>
              </w:rPr>
              <w:t xml:space="preserve">Прийняття регуляторного акта відповідно до Податкового кодексу України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71EC9" w:rsidRPr="00C0419B" w:rsidRDefault="00D71EC9" w:rsidP="00A44D48">
            <w:pPr>
              <w:pStyle w:val="BodyText"/>
              <w:spacing w:after="0"/>
              <w:jc w:val="both"/>
              <w:rPr>
                <w:sz w:val="24"/>
                <w:szCs w:val="24"/>
              </w:rPr>
            </w:pPr>
            <w:r w:rsidRPr="00C0419B">
              <w:rPr>
                <w:sz w:val="24"/>
                <w:szCs w:val="24"/>
              </w:rPr>
              <w:t xml:space="preserve">Забезпечить дотримання вимог Податкового кодексу України, реалізацію наданих повноважень щодо встановлення місцевих податків і зборів. Забезпечить відповідні надходження до бюджету територіальної громади від сплати земельного податку. Створить сприятливі фінансові можливості для реалізації завдань Програми економічного і соціального розвитку громади. </w:t>
            </w:r>
          </w:p>
        </w:tc>
        <w:tc>
          <w:tcPr>
            <w:tcW w:w="0" w:type="auto"/>
            <w:tcBorders>
              <w:top w:val="outset" w:sz="6" w:space="0" w:color="auto"/>
              <w:left w:val="outset" w:sz="6" w:space="0" w:color="auto"/>
              <w:bottom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Відсутні</w:t>
            </w:r>
          </w:p>
        </w:tc>
      </w:tr>
    </w:tbl>
    <w:p w:rsidR="00D71EC9" w:rsidRPr="00C0419B" w:rsidRDefault="00D71EC9" w:rsidP="00781BCA">
      <w:pPr>
        <w:pStyle w:val="BodyText"/>
        <w:spacing w:after="0"/>
        <w:ind w:firstLine="709"/>
        <w:jc w:val="both"/>
        <w:rPr>
          <w:sz w:val="24"/>
          <w:szCs w:val="24"/>
        </w:rPr>
      </w:pPr>
    </w:p>
    <w:p w:rsidR="00D71EC9" w:rsidRPr="00C0419B" w:rsidRDefault="00D71EC9" w:rsidP="00781BCA">
      <w:pPr>
        <w:pStyle w:val="BodyText"/>
        <w:spacing w:after="0"/>
        <w:ind w:firstLine="709"/>
        <w:jc w:val="both"/>
        <w:rPr>
          <w:sz w:val="24"/>
          <w:szCs w:val="24"/>
        </w:rPr>
      </w:pPr>
      <w:r w:rsidRPr="00C0419B">
        <w:rPr>
          <w:sz w:val="24"/>
          <w:szCs w:val="24"/>
        </w:rPr>
        <w:t>Оцінка впливу на сферу інтересів громадян</w:t>
      </w:r>
    </w:p>
    <w:p w:rsidR="00D71EC9" w:rsidRPr="00C0419B" w:rsidRDefault="00D71EC9" w:rsidP="00781BCA">
      <w:pPr>
        <w:pStyle w:val="BodyText"/>
        <w:spacing w:after="0"/>
        <w:ind w:firstLine="709"/>
        <w:jc w:val="both"/>
        <w:rPr>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2"/>
        <w:gridCol w:w="3309"/>
        <w:gridCol w:w="2943"/>
      </w:tblGrid>
      <w:tr w:rsidR="00D71EC9" w:rsidRPr="00C0419B">
        <w:trPr>
          <w:trHeight w:val="20"/>
          <w:jc w:val="center"/>
        </w:trPr>
        <w:tc>
          <w:tcPr>
            <w:tcW w:w="6885" w:type="dxa"/>
            <w:tcBorders>
              <w:top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Вид альтернативи</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Вигоди</w:t>
            </w:r>
          </w:p>
        </w:tc>
        <w:tc>
          <w:tcPr>
            <w:tcW w:w="6705" w:type="dxa"/>
            <w:tcBorders>
              <w:top w:val="outset" w:sz="6" w:space="0" w:color="auto"/>
              <w:left w:val="outset" w:sz="6" w:space="0" w:color="auto"/>
              <w:bottom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Витрати</w:t>
            </w:r>
          </w:p>
        </w:tc>
      </w:tr>
      <w:tr w:rsidR="00D71EC9" w:rsidRPr="00C0419B">
        <w:trPr>
          <w:trHeight w:val="20"/>
          <w:jc w:val="center"/>
        </w:trPr>
        <w:tc>
          <w:tcPr>
            <w:tcW w:w="6885" w:type="dxa"/>
            <w:tcBorders>
              <w:top w:val="outset" w:sz="6" w:space="0" w:color="auto"/>
              <w:bottom w:val="outset" w:sz="6" w:space="0" w:color="auto"/>
              <w:right w:val="outset" w:sz="6" w:space="0" w:color="auto"/>
            </w:tcBorders>
            <w:shd w:val="clear" w:color="auto" w:fill="FFFFFF"/>
            <w:vAlign w:val="center"/>
          </w:tcPr>
          <w:p w:rsidR="00D71EC9" w:rsidRPr="00C0419B" w:rsidRDefault="00D71EC9" w:rsidP="00F06390">
            <w:pPr>
              <w:pStyle w:val="BodyText"/>
              <w:spacing w:after="0"/>
              <w:jc w:val="center"/>
              <w:rPr>
                <w:sz w:val="24"/>
                <w:szCs w:val="24"/>
              </w:rPr>
            </w:pPr>
            <w:r w:rsidRPr="00C0419B">
              <w:rPr>
                <w:sz w:val="24"/>
                <w:szCs w:val="24"/>
              </w:rPr>
              <w:t>Альтернатива 1</w:t>
            </w:r>
          </w:p>
          <w:p w:rsidR="00D71EC9" w:rsidRPr="00C0419B" w:rsidRDefault="00D71EC9" w:rsidP="00956680">
            <w:pPr>
              <w:pStyle w:val="BodyText"/>
              <w:spacing w:after="0"/>
              <w:jc w:val="both"/>
              <w:rPr>
                <w:sz w:val="24"/>
                <w:szCs w:val="24"/>
              </w:rPr>
            </w:pPr>
            <w:r w:rsidRPr="00C0419B">
              <w:rPr>
                <w:sz w:val="24"/>
                <w:szCs w:val="24"/>
              </w:rPr>
              <w:t>Не прийняття регуляторного акта (залишення існуючої на даний момент ситуації без змін)</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tcPr>
          <w:p w:rsidR="00D71EC9" w:rsidRPr="00C0419B" w:rsidRDefault="00D71EC9" w:rsidP="00A44D48">
            <w:pPr>
              <w:pStyle w:val="BodyText"/>
              <w:spacing w:after="0"/>
              <w:jc w:val="center"/>
              <w:rPr>
                <w:sz w:val="24"/>
                <w:szCs w:val="24"/>
              </w:rPr>
            </w:pPr>
            <w:r>
              <w:rPr>
                <w:sz w:val="24"/>
                <w:szCs w:val="24"/>
              </w:rPr>
              <w:t>Можливе зменшення сплати сум податків внаслідок правової небезпечності та відсутності прозорого механізму їх нарахування</w:t>
            </w:r>
          </w:p>
        </w:tc>
        <w:tc>
          <w:tcPr>
            <w:tcW w:w="6705" w:type="dxa"/>
            <w:tcBorders>
              <w:top w:val="outset" w:sz="6" w:space="0" w:color="auto"/>
              <w:left w:val="outset" w:sz="6" w:space="0" w:color="auto"/>
              <w:bottom w:val="outset" w:sz="6" w:space="0" w:color="auto"/>
            </w:tcBorders>
            <w:shd w:val="clear" w:color="auto" w:fill="FFFFFF"/>
            <w:vAlign w:val="center"/>
          </w:tcPr>
          <w:p w:rsidR="00D71EC9" w:rsidRPr="00C0419B" w:rsidRDefault="00D71EC9" w:rsidP="00A44D48">
            <w:pPr>
              <w:pStyle w:val="BodyText"/>
              <w:spacing w:after="0"/>
              <w:jc w:val="center"/>
              <w:rPr>
                <w:sz w:val="24"/>
                <w:szCs w:val="24"/>
              </w:rPr>
            </w:pPr>
            <w:r w:rsidRPr="00C0419B">
              <w:rPr>
                <w:sz w:val="24"/>
                <w:szCs w:val="24"/>
              </w:rPr>
              <w:t>Відсутні</w:t>
            </w:r>
          </w:p>
        </w:tc>
      </w:tr>
      <w:tr w:rsidR="00D71EC9" w:rsidRPr="00C0419B">
        <w:trPr>
          <w:trHeight w:val="20"/>
          <w:jc w:val="center"/>
        </w:trPr>
        <w:tc>
          <w:tcPr>
            <w:tcW w:w="6885" w:type="dxa"/>
            <w:tcBorders>
              <w:top w:val="outset" w:sz="6" w:space="0" w:color="auto"/>
              <w:bottom w:val="outset" w:sz="6" w:space="0" w:color="auto"/>
              <w:right w:val="outset" w:sz="6" w:space="0" w:color="auto"/>
            </w:tcBorders>
            <w:shd w:val="clear" w:color="auto" w:fill="FFFFFF"/>
            <w:vAlign w:val="center"/>
          </w:tcPr>
          <w:p w:rsidR="00D71EC9" w:rsidRPr="00C0419B" w:rsidRDefault="00D71EC9" w:rsidP="00F06390">
            <w:pPr>
              <w:pStyle w:val="BodyText"/>
              <w:spacing w:after="0"/>
              <w:jc w:val="center"/>
              <w:rPr>
                <w:sz w:val="24"/>
                <w:szCs w:val="24"/>
              </w:rPr>
            </w:pPr>
            <w:r w:rsidRPr="00C0419B">
              <w:rPr>
                <w:sz w:val="24"/>
                <w:szCs w:val="24"/>
              </w:rPr>
              <w:t>Альтернатива 2</w:t>
            </w:r>
          </w:p>
          <w:p w:rsidR="00D71EC9" w:rsidRPr="00C0419B" w:rsidRDefault="00D71EC9" w:rsidP="00A44D48">
            <w:pPr>
              <w:pStyle w:val="BodyText"/>
              <w:spacing w:after="0"/>
              <w:jc w:val="both"/>
              <w:rPr>
                <w:sz w:val="24"/>
                <w:szCs w:val="24"/>
              </w:rPr>
            </w:pPr>
            <w:r w:rsidRPr="00C0419B">
              <w:rPr>
                <w:sz w:val="24"/>
                <w:szCs w:val="24"/>
              </w:rPr>
              <w:t xml:space="preserve">Прийняття регуляторного акта відповідно до Податкового кодексу України </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tcPr>
          <w:p w:rsidR="00D71EC9" w:rsidRPr="00C0419B" w:rsidRDefault="00D71EC9" w:rsidP="00956680">
            <w:pPr>
              <w:jc w:val="center"/>
              <w:rPr>
                <w:sz w:val="24"/>
                <w:szCs w:val="24"/>
              </w:rPr>
            </w:pPr>
            <w:r w:rsidRPr="00C0419B">
              <w:rPr>
                <w:sz w:val="24"/>
                <w:szCs w:val="24"/>
              </w:rPr>
              <w:t xml:space="preserve">встановлення </w:t>
            </w:r>
            <w:r>
              <w:rPr>
                <w:sz w:val="24"/>
                <w:szCs w:val="24"/>
              </w:rPr>
              <w:t xml:space="preserve">єдиного, прозорого </w:t>
            </w:r>
            <w:r w:rsidRPr="00C0419B">
              <w:rPr>
                <w:sz w:val="24"/>
                <w:szCs w:val="24"/>
              </w:rPr>
              <w:t xml:space="preserve">порядку розрахунку та сплати земельного податку для </w:t>
            </w:r>
            <w:r>
              <w:rPr>
                <w:sz w:val="24"/>
                <w:szCs w:val="24"/>
              </w:rPr>
              <w:t>всіх платників податків</w:t>
            </w:r>
            <w:r w:rsidRPr="00C0419B">
              <w:rPr>
                <w:sz w:val="24"/>
                <w:szCs w:val="24"/>
              </w:rPr>
              <w:t xml:space="preserve"> </w:t>
            </w:r>
            <w:r>
              <w:rPr>
                <w:sz w:val="24"/>
                <w:szCs w:val="24"/>
              </w:rPr>
              <w:t>що спростить процедуру її нарахування та сплати.</w:t>
            </w:r>
          </w:p>
          <w:p w:rsidR="00D71EC9" w:rsidRPr="00C0419B" w:rsidRDefault="00D71EC9" w:rsidP="00956680">
            <w:pPr>
              <w:pStyle w:val="BodyText"/>
              <w:spacing w:after="0"/>
              <w:jc w:val="both"/>
              <w:rPr>
                <w:sz w:val="24"/>
                <w:szCs w:val="24"/>
              </w:rPr>
            </w:pPr>
          </w:p>
        </w:tc>
        <w:tc>
          <w:tcPr>
            <w:tcW w:w="6705" w:type="dxa"/>
            <w:tcBorders>
              <w:top w:val="outset" w:sz="6" w:space="0" w:color="auto"/>
              <w:left w:val="outset" w:sz="6" w:space="0" w:color="auto"/>
              <w:bottom w:val="outset" w:sz="6" w:space="0" w:color="auto"/>
            </w:tcBorders>
            <w:shd w:val="clear" w:color="auto" w:fill="FFFFFF"/>
            <w:vAlign w:val="center"/>
          </w:tcPr>
          <w:p w:rsidR="00D71EC9" w:rsidRPr="00C0419B" w:rsidRDefault="00D71EC9" w:rsidP="00956680">
            <w:pPr>
              <w:pStyle w:val="BodyText"/>
              <w:spacing w:after="0"/>
              <w:jc w:val="center"/>
              <w:rPr>
                <w:sz w:val="24"/>
                <w:szCs w:val="24"/>
              </w:rPr>
            </w:pPr>
            <w:r w:rsidRPr="00C0419B">
              <w:rPr>
                <w:sz w:val="24"/>
                <w:szCs w:val="24"/>
              </w:rPr>
              <w:t>Відсутні</w:t>
            </w:r>
          </w:p>
          <w:p w:rsidR="00D71EC9" w:rsidRPr="00C0419B" w:rsidRDefault="00D71EC9" w:rsidP="00956680">
            <w:pPr>
              <w:pStyle w:val="BodyText"/>
              <w:spacing w:after="0"/>
              <w:jc w:val="center"/>
              <w:rPr>
                <w:sz w:val="24"/>
                <w:szCs w:val="24"/>
              </w:rPr>
            </w:pPr>
          </w:p>
        </w:tc>
      </w:tr>
    </w:tbl>
    <w:p w:rsidR="00D71EC9" w:rsidRPr="00C0419B" w:rsidRDefault="00D71EC9" w:rsidP="009E2113">
      <w:pPr>
        <w:pStyle w:val="BodyText"/>
        <w:spacing w:after="0"/>
        <w:jc w:val="both"/>
        <w:rPr>
          <w:sz w:val="24"/>
          <w:szCs w:val="24"/>
        </w:rPr>
      </w:pPr>
    </w:p>
    <w:p w:rsidR="00D71EC9" w:rsidRPr="00C0419B" w:rsidRDefault="00D71EC9" w:rsidP="00006E5C">
      <w:pPr>
        <w:pStyle w:val="BodyText"/>
        <w:spacing w:after="0"/>
        <w:jc w:val="both"/>
        <w:rPr>
          <w:b/>
          <w:bCs/>
          <w:sz w:val="24"/>
          <w:szCs w:val="24"/>
        </w:rPr>
      </w:pPr>
      <w:r w:rsidRPr="00C0419B">
        <w:rPr>
          <w:b/>
          <w:bCs/>
          <w:sz w:val="24"/>
          <w:szCs w:val="24"/>
        </w:rPr>
        <w:t>VІІ. Обґрунтування запропонованого строку дії регуляторного акта</w:t>
      </w:r>
    </w:p>
    <w:p w:rsidR="00D71EC9" w:rsidRPr="00C0419B" w:rsidRDefault="00D71EC9" w:rsidP="00A44D48">
      <w:pPr>
        <w:autoSpaceDE w:val="0"/>
        <w:autoSpaceDN w:val="0"/>
        <w:adjustRightInd w:val="0"/>
        <w:ind w:firstLine="567"/>
        <w:jc w:val="both"/>
        <w:rPr>
          <w:sz w:val="24"/>
          <w:szCs w:val="24"/>
          <w:lang w:val="ru-RU" w:eastAsia="ru-RU"/>
        </w:rPr>
      </w:pPr>
      <w:r w:rsidRPr="00C0419B">
        <w:rPr>
          <w:sz w:val="24"/>
          <w:szCs w:val="24"/>
          <w:lang w:val="ru-RU" w:eastAsia="ru-RU"/>
        </w:rPr>
        <w:t>Розпорядження керівника набуває чинності з початку наступного бюджетного періоду, тобто з 01.01.2022. У разі необхідності за підсумками відстежень та змінами у законодавстві будуть вноситись зміни до нього.</w:t>
      </w:r>
    </w:p>
    <w:p w:rsidR="00D71EC9" w:rsidRPr="00C0419B" w:rsidRDefault="00D71EC9" w:rsidP="00006E5C">
      <w:pPr>
        <w:pStyle w:val="NoSpacing"/>
        <w:ind w:firstLine="708"/>
        <w:jc w:val="both"/>
        <w:rPr>
          <w:lang w:val="uk-UA"/>
        </w:rPr>
      </w:pPr>
      <w:r w:rsidRPr="00C0419B">
        <w:t>Передбачається, що власники та користувачі земельних ділянок будуть неухильно виконувати вимоги запропонованого про</w:t>
      </w:r>
      <w:r>
        <w:rPr>
          <w:lang w:val="uk-UA"/>
        </w:rPr>
        <w:t>е</w:t>
      </w:r>
      <w:r w:rsidRPr="00C0419B">
        <w:t>кту розпорядження, тобто в повному обсязі та своєчасно здійснювати плату за землю</w:t>
      </w:r>
      <w:r w:rsidRPr="00C0419B">
        <w:rPr>
          <w:lang w:val="uk-UA"/>
        </w:rPr>
        <w:t>.</w:t>
      </w:r>
    </w:p>
    <w:p w:rsidR="00D71EC9" w:rsidRPr="00C0419B" w:rsidRDefault="00D71EC9" w:rsidP="00006E5C">
      <w:pPr>
        <w:pStyle w:val="NoSpacing"/>
        <w:ind w:firstLine="708"/>
        <w:jc w:val="both"/>
        <w:rPr>
          <w:lang w:val="uk-UA"/>
        </w:rPr>
      </w:pPr>
    </w:p>
    <w:p w:rsidR="00D71EC9" w:rsidRPr="00C0419B" w:rsidRDefault="00D71EC9" w:rsidP="00006E5C">
      <w:pPr>
        <w:pStyle w:val="Heading3"/>
        <w:jc w:val="left"/>
        <w:rPr>
          <w:color w:val="auto"/>
          <w:sz w:val="24"/>
          <w:szCs w:val="24"/>
        </w:rPr>
      </w:pPr>
      <w:r w:rsidRPr="00C0419B">
        <w:rPr>
          <w:color w:val="auto"/>
          <w:sz w:val="24"/>
          <w:szCs w:val="24"/>
        </w:rPr>
        <w:t>VІІІ. Визначення заходів, за допомогою яких здійснюватиметься відстеження результативності дії регуляторного акта</w:t>
      </w:r>
    </w:p>
    <w:p w:rsidR="00D71EC9" w:rsidRPr="00C0419B" w:rsidRDefault="00D71EC9" w:rsidP="00006E5C">
      <w:pPr>
        <w:pStyle w:val="NoSpacing"/>
        <w:ind w:firstLine="567"/>
        <w:jc w:val="both"/>
        <w:rPr>
          <w:lang w:val="uk-UA"/>
        </w:rPr>
      </w:pPr>
      <w:r w:rsidRPr="00C0419B">
        <w:rPr>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D71EC9" w:rsidRPr="00C0419B" w:rsidRDefault="00D71EC9" w:rsidP="00006E5C">
      <w:pPr>
        <w:pStyle w:val="NoSpacing"/>
        <w:ind w:firstLine="567"/>
        <w:jc w:val="both"/>
        <w:rPr>
          <w:lang w:val="uk-UA"/>
        </w:rPr>
      </w:pPr>
      <w:r w:rsidRPr="00C0419B">
        <w:rPr>
          <w:lang w:val="uk-UA"/>
        </w:rPr>
        <w:t xml:space="preserve">- </w:t>
      </w:r>
      <w:r w:rsidRPr="00C0419B">
        <w:t>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D71EC9" w:rsidRPr="00C0419B" w:rsidRDefault="00D71EC9" w:rsidP="00006E5C">
      <w:pPr>
        <w:pStyle w:val="NoSpacing"/>
        <w:ind w:firstLine="567"/>
        <w:jc w:val="both"/>
        <w:rPr>
          <w:lang w:val="uk-UA"/>
        </w:rPr>
      </w:pPr>
      <w:r w:rsidRPr="00C0419B">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D71EC9" w:rsidRPr="00C0419B" w:rsidRDefault="00D71EC9" w:rsidP="00006E5C">
      <w:pPr>
        <w:pStyle w:val="NoSpacing"/>
        <w:ind w:firstLine="567"/>
        <w:jc w:val="both"/>
        <w:rPr>
          <w:lang w:val="uk-UA"/>
        </w:rPr>
      </w:pPr>
      <w:r w:rsidRPr="00C0419B">
        <w:rPr>
          <w:lang w:val="uk-UA"/>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D71EC9" w:rsidRPr="00C0419B" w:rsidRDefault="00D71EC9" w:rsidP="00322136">
      <w:pPr>
        <w:pStyle w:val="BodyText"/>
        <w:spacing w:after="0"/>
        <w:jc w:val="both"/>
        <w:rPr>
          <w:sz w:val="24"/>
          <w:szCs w:val="24"/>
        </w:rPr>
      </w:pPr>
    </w:p>
    <w:p w:rsidR="00D71EC9" w:rsidRPr="00C0419B" w:rsidRDefault="00D71EC9" w:rsidP="00D11281">
      <w:pPr>
        <w:pStyle w:val="NoSpacing"/>
        <w:rPr>
          <w:lang w:val="uk-UA"/>
        </w:rPr>
      </w:pPr>
    </w:p>
    <w:p w:rsidR="00D71EC9" w:rsidRPr="00C0419B" w:rsidRDefault="00D71EC9" w:rsidP="00D11281">
      <w:pPr>
        <w:pStyle w:val="NoSpacing"/>
        <w:rPr>
          <w:lang w:val="uk-UA"/>
        </w:rPr>
      </w:pPr>
      <w:r w:rsidRPr="00C0419B">
        <w:rPr>
          <w:lang w:val="uk-UA"/>
        </w:rPr>
        <w:t>Начальник відділу земельних ресурсів</w:t>
      </w:r>
    </w:p>
    <w:p w:rsidR="00D71EC9" w:rsidRPr="00C0419B" w:rsidRDefault="00D71EC9" w:rsidP="00D11281">
      <w:pPr>
        <w:pStyle w:val="NoSpacing"/>
        <w:rPr>
          <w:lang w:val="uk-UA"/>
        </w:rPr>
      </w:pPr>
      <w:r>
        <w:rPr>
          <w:lang w:val="uk-UA"/>
        </w:rPr>
        <w:t>Нижньотеплівської сільської</w:t>
      </w:r>
    </w:p>
    <w:p w:rsidR="00D71EC9" w:rsidRPr="00C0419B" w:rsidRDefault="00D71EC9" w:rsidP="00006E5C">
      <w:pPr>
        <w:pStyle w:val="NoSpacing"/>
        <w:rPr>
          <w:lang w:val="uk-UA"/>
        </w:rPr>
      </w:pPr>
      <w:r w:rsidRPr="00C0419B">
        <w:rPr>
          <w:lang w:val="uk-UA"/>
        </w:rPr>
        <w:t xml:space="preserve">військово-цивільної адміністрації                                                          </w:t>
      </w:r>
      <w:r>
        <w:rPr>
          <w:b/>
          <w:bCs/>
          <w:lang w:val="uk-UA"/>
        </w:rPr>
        <w:t>Галина ЧИБРИСОВА</w:t>
      </w:r>
    </w:p>
    <w:sectPr w:rsidR="00D71EC9" w:rsidRPr="00C0419B" w:rsidSect="001515CB">
      <w:headerReference w:type="default" r:id="rId9"/>
      <w:footerReference w:type="default" r:id="rId10"/>
      <w:pgSz w:w="11906" w:h="16838"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C9" w:rsidRDefault="00D71EC9" w:rsidP="002D678B">
      <w:r>
        <w:separator/>
      </w:r>
    </w:p>
  </w:endnote>
  <w:endnote w:type="continuationSeparator" w:id="0">
    <w:p w:rsidR="00D71EC9" w:rsidRDefault="00D71EC9" w:rsidP="002D6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C9" w:rsidRDefault="00D71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C9" w:rsidRDefault="00D71EC9" w:rsidP="002D678B">
      <w:r>
        <w:separator/>
      </w:r>
    </w:p>
  </w:footnote>
  <w:footnote w:type="continuationSeparator" w:id="0">
    <w:p w:rsidR="00D71EC9" w:rsidRDefault="00D71EC9" w:rsidP="002D6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C9" w:rsidRDefault="00D71EC9">
    <w:pPr>
      <w:pStyle w:val="Header"/>
      <w:jc w:val="center"/>
    </w:pPr>
    <w:fldSimple w:instr="PAGE   \* MERGEFORMAT">
      <w:r w:rsidRPr="005434FB">
        <w:rPr>
          <w:noProof/>
          <w:lang w:val="ru-RU"/>
        </w:rPr>
        <w:t>5</w:t>
      </w:r>
    </w:fldSimple>
  </w:p>
  <w:p w:rsidR="00D71EC9" w:rsidRDefault="00D71EC9" w:rsidP="00E442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76D"/>
    <w:multiLevelType w:val="hybridMultilevel"/>
    <w:tmpl w:val="3C363C28"/>
    <w:lvl w:ilvl="0" w:tplc="320C4CEA">
      <w:start w:val="1"/>
      <w:numFmt w:val="bullet"/>
      <w:lvlText w:val="-"/>
      <w:lvlJc w:val="left"/>
      <w:pPr>
        <w:ind w:left="1069" w:hanging="360"/>
      </w:pPr>
      <w:rPr>
        <w:rFonts w:ascii="Times New Roman" w:eastAsia="SimSu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131B2D21"/>
    <w:multiLevelType w:val="hybridMultilevel"/>
    <w:tmpl w:val="11E4B07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7B2185D"/>
    <w:multiLevelType w:val="hybridMultilevel"/>
    <w:tmpl w:val="B81CC0C8"/>
    <w:lvl w:ilvl="0" w:tplc="04220001">
      <w:start w:val="1"/>
      <w:numFmt w:val="bullet"/>
      <w:lvlText w:val=""/>
      <w:lvlJc w:val="left"/>
      <w:pPr>
        <w:ind w:left="36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33767B53"/>
    <w:multiLevelType w:val="hybridMultilevel"/>
    <w:tmpl w:val="D4E0201E"/>
    <w:lvl w:ilvl="0" w:tplc="CC265C20">
      <w:start w:val="5"/>
      <w:numFmt w:val="decimal"/>
      <w:suff w:val="space"/>
      <w:lvlText w:val="%1."/>
      <w:lvlJc w:val="left"/>
      <w:pPr>
        <w:ind w:left="3338" w:hanging="360"/>
      </w:pPr>
      <w:rPr>
        <w:b/>
        <w:bCs/>
      </w:rPr>
    </w:lvl>
    <w:lvl w:ilvl="1" w:tplc="04190019">
      <w:start w:val="1"/>
      <w:numFmt w:val="lowerLetter"/>
      <w:lvlText w:val="%2."/>
      <w:lvlJc w:val="left"/>
      <w:pPr>
        <w:tabs>
          <w:tab w:val="num" w:pos="3708"/>
        </w:tabs>
        <w:ind w:left="3708" w:hanging="360"/>
      </w:pPr>
    </w:lvl>
    <w:lvl w:ilvl="2" w:tplc="0419001B">
      <w:start w:val="1"/>
      <w:numFmt w:val="lowerRoman"/>
      <w:lvlText w:val="%3."/>
      <w:lvlJc w:val="right"/>
      <w:pPr>
        <w:tabs>
          <w:tab w:val="num" w:pos="4428"/>
        </w:tabs>
        <w:ind w:left="4428" w:hanging="180"/>
      </w:pPr>
    </w:lvl>
    <w:lvl w:ilvl="3" w:tplc="0419000F">
      <w:start w:val="1"/>
      <w:numFmt w:val="decimal"/>
      <w:lvlText w:val="%4."/>
      <w:lvlJc w:val="left"/>
      <w:pPr>
        <w:tabs>
          <w:tab w:val="num" w:pos="5148"/>
        </w:tabs>
        <w:ind w:left="5148" w:hanging="360"/>
      </w:pPr>
    </w:lvl>
    <w:lvl w:ilvl="4" w:tplc="04190019">
      <w:start w:val="1"/>
      <w:numFmt w:val="lowerLetter"/>
      <w:lvlText w:val="%5."/>
      <w:lvlJc w:val="left"/>
      <w:pPr>
        <w:tabs>
          <w:tab w:val="num" w:pos="5868"/>
        </w:tabs>
        <w:ind w:left="5868" w:hanging="360"/>
      </w:pPr>
    </w:lvl>
    <w:lvl w:ilvl="5" w:tplc="0419001B">
      <w:start w:val="1"/>
      <w:numFmt w:val="lowerRoman"/>
      <w:lvlText w:val="%6."/>
      <w:lvlJc w:val="right"/>
      <w:pPr>
        <w:tabs>
          <w:tab w:val="num" w:pos="6588"/>
        </w:tabs>
        <w:ind w:left="6588" w:hanging="180"/>
      </w:pPr>
    </w:lvl>
    <w:lvl w:ilvl="6" w:tplc="0419000F">
      <w:start w:val="1"/>
      <w:numFmt w:val="decimal"/>
      <w:lvlText w:val="%7."/>
      <w:lvlJc w:val="left"/>
      <w:pPr>
        <w:tabs>
          <w:tab w:val="num" w:pos="7308"/>
        </w:tabs>
        <w:ind w:left="7308" w:hanging="360"/>
      </w:pPr>
    </w:lvl>
    <w:lvl w:ilvl="7" w:tplc="04190019">
      <w:start w:val="1"/>
      <w:numFmt w:val="lowerLetter"/>
      <w:lvlText w:val="%8."/>
      <w:lvlJc w:val="left"/>
      <w:pPr>
        <w:tabs>
          <w:tab w:val="num" w:pos="8028"/>
        </w:tabs>
        <w:ind w:left="8028" w:hanging="360"/>
      </w:pPr>
    </w:lvl>
    <w:lvl w:ilvl="8" w:tplc="0419001B">
      <w:start w:val="1"/>
      <w:numFmt w:val="lowerRoman"/>
      <w:lvlText w:val="%9."/>
      <w:lvlJc w:val="right"/>
      <w:pPr>
        <w:tabs>
          <w:tab w:val="num" w:pos="8748"/>
        </w:tabs>
        <w:ind w:left="8748" w:hanging="180"/>
      </w:pPr>
    </w:lvl>
  </w:abstractNum>
  <w:abstractNum w:abstractNumId="4">
    <w:nsid w:val="41FF1189"/>
    <w:multiLevelType w:val="multilevel"/>
    <w:tmpl w:val="D41CE5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78A4AD0"/>
    <w:multiLevelType w:val="hybridMultilevel"/>
    <w:tmpl w:val="E5A80870"/>
    <w:lvl w:ilvl="0" w:tplc="C8DAF95C">
      <w:start w:val="1"/>
      <w:numFmt w:val="bullet"/>
      <w:lvlText w:val="-"/>
      <w:lvlJc w:val="left"/>
      <w:pPr>
        <w:ind w:left="927" w:hanging="360"/>
      </w:pPr>
      <w:rPr>
        <w:rFonts w:ascii="Times New Roman" w:eastAsia="SimSu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4"/>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5"/>
  </w:num>
  <w:num w:numId="3">
    <w:abstractNumId w:val="0"/>
  </w:num>
  <w:num w:numId="4">
    <w:abstractNumId w:val="2"/>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7DF"/>
    <w:rsid w:val="00001418"/>
    <w:rsid w:val="0000222F"/>
    <w:rsid w:val="000033A2"/>
    <w:rsid w:val="00006E5C"/>
    <w:rsid w:val="0001182C"/>
    <w:rsid w:val="00012334"/>
    <w:rsid w:val="00036CC2"/>
    <w:rsid w:val="00054C90"/>
    <w:rsid w:val="00060F58"/>
    <w:rsid w:val="0006684B"/>
    <w:rsid w:val="0008348C"/>
    <w:rsid w:val="00093101"/>
    <w:rsid w:val="000A299E"/>
    <w:rsid w:val="000C27DF"/>
    <w:rsid w:val="000D306A"/>
    <w:rsid w:val="000E07F0"/>
    <w:rsid w:val="000E1866"/>
    <w:rsid w:val="000E7A93"/>
    <w:rsid w:val="000F7012"/>
    <w:rsid w:val="00120AF7"/>
    <w:rsid w:val="0013376A"/>
    <w:rsid w:val="001353E8"/>
    <w:rsid w:val="001515CB"/>
    <w:rsid w:val="00160995"/>
    <w:rsid w:val="00162530"/>
    <w:rsid w:val="00170F0D"/>
    <w:rsid w:val="00175837"/>
    <w:rsid w:val="001760FE"/>
    <w:rsid w:val="00180AF3"/>
    <w:rsid w:val="00190469"/>
    <w:rsid w:val="001B2DEA"/>
    <w:rsid w:val="001C6DA9"/>
    <w:rsid w:val="001E7251"/>
    <w:rsid w:val="001F103C"/>
    <w:rsid w:val="001F16DA"/>
    <w:rsid w:val="001F617C"/>
    <w:rsid w:val="001F7B40"/>
    <w:rsid w:val="00203256"/>
    <w:rsid w:val="00205A2A"/>
    <w:rsid w:val="00210CA7"/>
    <w:rsid w:val="00213AA8"/>
    <w:rsid w:val="0022698E"/>
    <w:rsid w:val="00227D67"/>
    <w:rsid w:val="00233695"/>
    <w:rsid w:val="00233A63"/>
    <w:rsid w:val="0023557C"/>
    <w:rsid w:val="002446B9"/>
    <w:rsid w:val="00245109"/>
    <w:rsid w:val="00247EDD"/>
    <w:rsid w:val="00250F8A"/>
    <w:rsid w:val="0025256A"/>
    <w:rsid w:val="00253A95"/>
    <w:rsid w:val="002834AD"/>
    <w:rsid w:val="00293798"/>
    <w:rsid w:val="002A4C43"/>
    <w:rsid w:val="002A6C9A"/>
    <w:rsid w:val="002A776F"/>
    <w:rsid w:val="002B0D5D"/>
    <w:rsid w:val="002B197D"/>
    <w:rsid w:val="002B2018"/>
    <w:rsid w:val="002B20EE"/>
    <w:rsid w:val="002C1213"/>
    <w:rsid w:val="002D4D90"/>
    <w:rsid w:val="002D678B"/>
    <w:rsid w:val="002D7F70"/>
    <w:rsid w:val="002E087F"/>
    <w:rsid w:val="0030068E"/>
    <w:rsid w:val="003070A8"/>
    <w:rsid w:val="00307213"/>
    <w:rsid w:val="003077CD"/>
    <w:rsid w:val="00311945"/>
    <w:rsid w:val="00313C46"/>
    <w:rsid w:val="00320BE4"/>
    <w:rsid w:val="00320FEE"/>
    <w:rsid w:val="00322136"/>
    <w:rsid w:val="00335EEB"/>
    <w:rsid w:val="003413CB"/>
    <w:rsid w:val="00341BCD"/>
    <w:rsid w:val="0034302D"/>
    <w:rsid w:val="00346CDF"/>
    <w:rsid w:val="00346F57"/>
    <w:rsid w:val="003513FA"/>
    <w:rsid w:val="00371642"/>
    <w:rsid w:val="00376FE8"/>
    <w:rsid w:val="003801A8"/>
    <w:rsid w:val="00381727"/>
    <w:rsid w:val="00383B8F"/>
    <w:rsid w:val="003932F4"/>
    <w:rsid w:val="003A38A0"/>
    <w:rsid w:val="003A64E5"/>
    <w:rsid w:val="003B7F9F"/>
    <w:rsid w:val="003E284D"/>
    <w:rsid w:val="003E4449"/>
    <w:rsid w:val="003E7F8F"/>
    <w:rsid w:val="003F4578"/>
    <w:rsid w:val="00406423"/>
    <w:rsid w:val="00407A9C"/>
    <w:rsid w:val="00414101"/>
    <w:rsid w:val="0041470F"/>
    <w:rsid w:val="00417543"/>
    <w:rsid w:val="004176FE"/>
    <w:rsid w:val="00421A63"/>
    <w:rsid w:val="00433D29"/>
    <w:rsid w:val="0045112D"/>
    <w:rsid w:val="004652E3"/>
    <w:rsid w:val="00466E95"/>
    <w:rsid w:val="00470495"/>
    <w:rsid w:val="00487A1E"/>
    <w:rsid w:val="00491F79"/>
    <w:rsid w:val="004A579B"/>
    <w:rsid w:val="004B2A10"/>
    <w:rsid w:val="004C0E5E"/>
    <w:rsid w:val="004C759B"/>
    <w:rsid w:val="004D2FC3"/>
    <w:rsid w:val="004D43F4"/>
    <w:rsid w:val="004D67FB"/>
    <w:rsid w:val="004E1174"/>
    <w:rsid w:val="004E246B"/>
    <w:rsid w:val="004E6589"/>
    <w:rsid w:val="004F0663"/>
    <w:rsid w:val="004F4130"/>
    <w:rsid w:val="00506914"/>
    <w:rsid w:val="0052210B"/>
    <w:rsid w:val="00523330"/>
    <w:rsid w:val="005245A3"/>
    <w:rsid w:val="005434FB"/>
    <w:rsid w:val="0055299A"/>
    <w:rsid w:val="00584774"/>
    <w:rsid w:val="00596084"/>
    <w:rsid w:val="005B618C"/>
    <w:rsid w:val="005B7ACF"/>
    <w:rsid w:val="005D031D"/>
    <w:rsid w:val="005D4792"/>
    <w:rsid w:val="005E7370"/>
    <w:rsid w:val="005F1250"/>
    <w:rsid w:val="006070D0"/>
    <w:rsid w:val="00611C6F"/>
    <w:rsid w:val="006142B4"/>
    <w:rsid w:val="00614AFB"/>
    <w:rsid w:val="00615FC0"/>
    <w:rsid w:val="00621F72"/>
    <w:rsid w:val="0062518C"/>
    <w:rsid w:val="00631B18"/>
    <w:rsid w:val="00641FD9"/>
    <w:rsid w:val="0066754E"/>
    <w:rsid w:val="00672765"/>
    <w:rsid w:val="0067516C"/>
    <w:rsid w:val="006822F0"/>
    <w:rsid w:val="006B04A2"/>
    <w:rsid w:val="006D1C41"/>
    <w:rsid w:val="006F198C"/>
    <w:rsid w:val="00716D8E"/>
    <w:rsid w:val="0072190F"/>
    <w:rsid w:val="00732C15"/>
    <w:rsid w:val="00732F42"/>
    <w:rsid w:val="0074006C"/>
    <w:rsid w:val="00746DF2"/>
    <w:rsid w:val="00757BD9"/>
    <w:rsid w:val="00764832"/>
    <w:rsid w:val="00766262"/>
    <w:rsid w:val="00781BCA"/>
    <w:rsid w:val="00782405"/>
    <w:rsid w:val="00782815"/>
    <w:rsid w:val="00786967"/>
    <w:rsid w:val="00796C4B"/>
    <w:rsid w:val="00797E43"/>
    <w:rsid w:val="007C4475"/>
    <w:rsid w:val="007D53C6"/>
    <w:rsid w:val="007F198B"/>
    <w:rsid w:val="007F37A8"/>
    <w:rsid w:val="007F6EFA"/>
    <w:rsid w:val="008125E0"/>
    <w:rsid w:val="00822C0A"/>
    <w:rsid w:val="0082300E"/>
    <w:rsid w:val="0082637A"/>
    <w:rsid w:val="00835C47"/>
    <w:rsid w:val="0084547E"/>
    <w:rsid w:val="00847D81"/>
    <w:rsid w:val="008757D0"/>
    <w:rsid w:val="00882BC6"/>
    <w:rsid w:val="00896FFB"/>
    <w:rsid w:val="00897B32"/>
    <w:rsid w:val="008A03EF"/>
    <w:rsid w:val="008A55D2"/>
    <w:rsid w:val="008B54B1"/>
    <w:rsid w:val="008C4155"/>
    <w:rsid w:val="008D0565"/>
    <w:rsid w:val="008D26F3"/>
    <w:rsid w:val="008D3EE8"/>
    <w:rsid w:val="008D4BF5"/>
    <w:rsid w:val="008E5766"/>
    <w:rsid w:val="008E7006"/>
    <w:rsid w:val="008E7DAE"/>
    <w:rsid w:val="008F62E3"/>
    <w:rsid w:val="00904CAA"/>
    <w:rsid w:val="0091220E"/>
    <w:rsid w:val="00921D09"/>
    <w:rsid w:val="00925F4B"/>
    <w:rsid w:val="009313BC"/>
    <w:rsid w:val="00937119"/>
    <w:rsid w:val="00937866"/>
    <w:rsid w:val="00944266"/>
    <w:rsid w:val="00945308"/>
    <w:rsid w:val="00946027"/>
    <w:rsid w:val="00947EC4"/>
    <w:rsid w:val="00952999"/>
    <w:rsid w:val="00956680"/>
    <w:rsid w:val="00972DCD"/>
    <w:rsid w:val="00985D47"/>
    <w:rsid w:val="00994035"/>
    <w:rsid w:val="0099631A"/>
    <w:rsid w:val="009A01E5"/>
    <w:rsid w:val="009A638F"/>
    <w:rsid w:val="009C0CB5"/>
    <w:rsid w:val="009C26A0"/>
    <w:rsid w:val="009C298F"/>
    <w:rsid w:val="009C4242"/>
    <w:rsid w:val="009C66A0"/>
    <w:rsid w:val="009C7A44"/>
    <w:rsid w:val="009D4625"/>
    <w:rsid w:val="009E2113"/>
    <w:rsid w:val="009E6AB6"/>
    <w:rsid w:val="009F5549"/>
    <w:rsid w:val="00A0179A"/>
    <w:rsid w:val="00A12728"/>
    <w:rsid w:val="00A15434"/>
    <w:rsid w:val="00A22F56"/>
    <w:rsid w:val="00A257CD"/>
    <w:rsid w:val="00A2683F"/>
    <w:rsid w:val="00A30E01"/>
    <w:rsid w:val="00A325A5"/>
    <w:rsid w:val="00A37D7A"/>
    <w:rsid w:val="00A37DD4"/>
    <w:rsid w:val="00A4191E"/>
    <w:rsid w:val="00A44D48"/>
    <w:rsid w:val="00A53AF2"/>
    <w:rsid w:val="00A5673D"/>
    <w:rsid w:val="00A61E8C"/>
    <w:rsid w:val="00A7605A"/>
    <w:rsid w:val="00A854E0"/>
    <w:rsid w:val="00A95893"/>
    <w:rsid w:val="00AA4EAF"/>
    <w:rsid w:val="00AB31CE"/>
    <w:rsid w:val="00AC12AC"/>
    <w:rsid w:val="00AD6DE0"/>
    <w:rsid w:val="00AD7801"/>
    <w:rsid w:val="00AF7668"/>
    <w:rsid w:val="00B15D67"/>
    <w:rsid w:val="00B16DA2"/>
    <w:rsid w:val="00B24431"/>
    <w:rsid w:val="00B346EB"/>
    <w:rsid w:val="00B40E6C"/>
    <w:rsid w:val="00B43C27"/>
    <w:rsid w:val="00B70F80"/>
    <w:rsid w:val="00B90FAB"/>
    <w:rsid w:val="00B95EF4"/>
    <w:rsid w:val="00BA389A"/>
    <w:rsid w:val="00BA5DE7"/>
    <w:rsid w:val="00BB05BF"/>
    <w:rsid w:val="00BC2218"/>
    <w:rsid w:val="00BE7B94"/>
    <w:rsid w:val="00C0419B"/>
    <w:rsid w:val="00C117F9"/>
    <w:rsid w:val="00C14B0D"/>
    <w:rsid w:val="00C32207"/>
    <w:rsid w:val="00C40673"/>
    <w:rsid w:val="00C45D24"/>
    <w:rsid w:val="00C62E11"/>
    <w:rsid w:val="00C65F02"/>
    <w:rsid w:val="00C66088"/>
    <w:rsid w:val="00C67250"/>
    <w:rsid w:val="00C7096F"/>
    <w:rsid w:val="00C72EF2"/>
    <w:rsid w:val="00C74FD6"/>
    <w:rsid w:val="00C77483"/>
    <w:rsid w:val="00C8243A"/>
    <w:rsid w:val="00C90B4F"/>
    <w:rsid w:val="00C9607C"/>
    <w:rsid w:val="00C96D21"/>
    <w:rsid w:val="00CA153D"/>
    <w:rsid w:val="00CB56CC"/>
    <w:rsid w:val="00CC399E"/>
    <w:rsid w:val="00CC7165"/>
    <w:rsid w:val="00CD2142"/>
    <w:rsid w:val="00CD7D09"/>
    <w:rsid w:val="00CE7C37"/>
    <w:rsid w:val="00CF29C8"/>
    <w:rsid w:val="00CF57E6"/>
    <w:rsid w:val="00D00C82"/>
    <w:rsid w:val="00D01332"/>
    <w:rsid w:val="00D10138"/>
    <w:rsid w:val="00D11281"/>
    <w:rsid w:val="00D1433B"/>
    <w:rsid w:val="00D229AD"/>
    <w:rsid w:val="00D2422B"/>
    <w:rsid w:val="00D27762"/>
    <w:rsid w:val="00D30CA9"/>
    <w:rsid w:val="00D3376A"/>
    <w:rsid w:val="00D4156E"/>
    <w:rsid w:val="00D64E74"/>
    <w:rsid w:val="00D71EC9"/>
    <w:rsid w:val="00D75EBA"/>
    <w:rsid w:val="00D94BD1"/>
    <w:rsid w:val="00DB334B"/>
    <w:rsid w:val="00DD59F7"/>
    <w:rsid w:val="00DE7E4E"/>
    <w:rsid w:val="00DF5B40"/>
    <w:rsid w:val="00DF62D3"/>
    <w:rsid w:val="00DF748B"/>
    <w:rsid w:val="00E005D3"/>
    <w:rsid w:val="00E14241"/>
    <w:rsid w:val="00E16DC8"/>
    <w:rsid w:val="00E21583"/>
    <w:rsid w:val="00E31F42"/>
    <w:rsid w:val="00E36025"/>
    <w:rsid w:val="00E36055"/>
    <w:rsid w:val="00E44279"/>
    <w:rsid w:val="00E445F4"/>
    <w:rsid w:val="00E55DDF"/>
    <w:rsid w:val="00E6692A"/>
    <w:rsid w:val="00E84FB7"/>
    <w:rsid w:val="00E9360F"/>
    <w:rsid w:val="00EA7FC7"/>
    <w:rsid w:val="00EB2AD5"/>
    <w:rsid w:val="00EC0E68"/>
    <w:rsid w:val="00EC72EB"/>
    <w:rsid w:val="00EE0B7B"/>
    <w:rsid w:val="00EE1E7B"/>
    <w:rsid w:val="00EE3DE3"/>
    <w:rsid w:val="00EF6F81"/>
    <w:rsid w:val="00EF7BC1"/>
    <w:rsid w:val="00F06390"/>
    <w:rsid w:val="00F165F8"/>
    <w:rsid w:val="00F2268F"/>
    <w:rsid w:val="00F236AA"/>
    <w:rsid w:val="00F35CBE"/>
    <w:rsid w:val="00F37C8A"/>
    <w:rsid w:val="00F4065F"/>
    <w:rsid w:val="00F42F15"/>
    <w:rsid w:val="00F62D23"/>
    <w:rsid w:val="00F6505C"/>
    <w:rsid w:val="00F740EE"/>
    <w:rsid w:val="00F8230F"/>
    <w:rsid w:val="00F8714D"/>
    <w:rsid w:val="00FA216D"/>
    <w:rsid w:val="00FB5DC1"/>
    <w:rsid w:val="00FB7069"/>
    <w:rsid w:val="00FD0D22"/>
    <w:rsid w:val="00FE325A"/>
    <w:rsid w:val="00FE72CF"/>
    <w:rsid w:val="00FE74E1"/>
    <w:rsid w:val="08474085"/>
    <w:rsid w:val="09A25B40"/>
    <w:rsid w:val="16F1538D"/>
    <w:rsid w:val="18CD3F72"/>
    <w:rsid w:val="1BFE5658"/>
    <w:rsid w:val="203B0388"/>
    <w:rsid w:val="2D8F0117"/>
    <w:rsid w:val="4EFD2BA4"/>
    <w:rsid w:val="508E06E1"/>
    <w:rsid w:val="73B222DE"/>
    <w:rsid w:val="76C40A91"/>
    <w:rsid w:val="77B26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7CD"/>
    <w:rPr>
      <w:sz w:val="28"/>
      <w:szCs w:val="28"/>
      <w:lang w:val="uk-UA" w:eastAsia="uk-UA"/>
    </w:rPr>
  </w:style>
  <w:style w:type="paragraph" w:styleId="Heading1">
    <w:name w:val="heading 1"/>
    <w:basedOn w:val="Normal"/>
    <w:next w:val="Normal"/>
    <w:link w:val="Heading1Char"/>
    <w:uiPriority w:val="99"/>
    <w:qFormat/>
    <w:rsid w:val="003077CD"/>
    <w:pPr>
      <w:keepNext/>
      <w:outlineLvl w:val="0"/>
    </w:pPr>
    <w:rPr>
      <w:sz w:val="24"/>
      <w:szCs w:val="24"/>
    </w:rPr>
  </w:style>
  <w:style w:type="paragraph" w:styleId="Heading2">
    <w:name w:val="heading 2"/>
    <w:basedOn w:val="Normal"/>
    <w:next w:val="Normal"/>
    <w:link w:val="Heading2Char"/>
    <w:uiPriority w:val="99"/>
    <w:qFormat/>
    <w:rsid w:val="003077CD"/>
    <w:pPr>
      <w:keepNext/>
      <w:ind w:left="720" w:hanging="11"/>
      <w:outlineLvl w:val="1"/>
    </w:pPr>
    <w:rPr>
      <w:sz w:val="24"/>
      <w:szCs w:val="24"/>
    </w:rPr>
  </w:style>
  <w:style w:type="paragraph" w:styleId="Heading3">
    <w:name w:val="heading 3"/>
    <w:basedOn w:val="Normal"/>
    <w:next w:val="Normal"/>
    <w:link w:val="Heading3Char"/>
    <w:uiPriority w:val="99"/>
    <w:qFormat/>
    <w:rsid w:val="003077CD"/>
    <w:pPr>
      <w:keepNext/>
      <w:jc w:val="center"/>
      <w:outlineLvl w:val="2"/>
    </w:pPr>
    <w:rPr>
      <w:b/>
      <w:bCs/>
      <w:color w:val="000080"/>
      <w:sz w:val="32"/>
      <w:szCs w:val="32"/>
    </w:rPr>
  </w:style>
  <w:style w:type="paragraph" w:styleId="Heading4">
    <w:name w:val="heading 4"/>
    <w:basedOn w:val="Normal"/>
    <w:next w:val="Normal"/>
    <w:link w:val="Heading4Char"/>
    <w:uiPriority w:val="99"/>
    <w:qFormat/>
    <w:rsid w:val="003077CD"/>
    <w:pPr>
      <w:keepNext/>
      <w:jc w:val="center"/>
      <w:outlineLvl w:val="3"/>
    </w:pPr>
    <w:rPr>
      <w:b/>
      <w:bCs/>
      <w:sz w:val="32"/>
      <w:szCs w:val="3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1A"/>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425D1A"/>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425D1A"/>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425D1A"/>
    <w:rPr>
      <w:rFonts w:asciiTheme="minorHAnsi" w:eastAsiaTheme="minorEastAsia" w:hAnsiTheme="minorHAnsi" w:cstheme="minorBidi"/>
      <w:b/>
      <w:bCs/>
      <w:sz w:val="28"/>
      <w:szCs w:val="28"/>
      <w:lang w:val="uk-UA" w:eastAsia="uk-UA"/>
    </w:rPr>
  </w:style>
  <w:style w:type="character" w:styleId="Emphasis">
    <w:name w:val="Emphasis"/>
    <w:basedOn w:val="DefaultParagraphFont"/>
    <w:uiPriority w:val="99"/>
    <w:qFormat/>
    <w:rsid w:val="003077CD"/>
    <w:rPr>
      <w:i/>
      <w:iCs/>
    </w:rPr>
  </w:style>
  <w:style w:type="character" w:styleId="Hyperlink">
    <w:name w:val="Hyperlink"/>
    <w:basedOn w:val="DefaultParagraphFont"/>
    <w:uiPriority w:val="99"/>
    <w:rsid w:val="003077CD"/>
    <w:rPr>
      <w:color w:val="0000FF"/>
      <w:u w:val="single"/>
    </w:rPr>
  </w:style>
  <w:style w:type="character" w:styleId="Strong">
    <w:name w:val="Strong"/>
    <w:basedOn w:val="DefaultParagraphFont"/>
    <w:uiPriority w:val="99"/>
    <w:qFormat/>
    <w:rsid w:val="003077CD"/>
    <w:rPr>
      <w:b/>
      <w:bCs/>
    </w:rPr>
  </w:style>
  <w:style w:type="paragraph" w:styleId="NormalWeb">
    <w:name w:val="Normal (Web)"/>
    <w:basedOn w:val="Normal"/>
    <w:uiPriority w:val="99"/>
    <w:rsid w:val="003077CD"/>
    <w:pPr>
      <w:suppressAutoHyphens/>
      <w:spacing w:before="28" w:after="28" w:line="100" w:lineRule="atLeast"/>
    </w:pPr>
    <w:rPr>
      <w:sz w:val="24"/>
      <w:szCs w:val="24"/>
      <w:lang w:eastAsia="ru-RU"/>
    </w:rPr>
  </w:style>
  <w:style w:type="paragraph" w:styleId="BodyText">
    <w:name w:val="Body Text"/>
    <w:basedOn w:val="Normal"/>
    <w:link w:val="BodyTextChar"/>
    <w:uiPriority w:val="99"/>
    <w:rsid w:val="003077CD"/>
    <w:pPr>
      <w:spacing w:after="120"/>
    </w:pPr>
  </w:style>
  <w:style w:type="character" w:customStyle="1" w:styleId="BodyTextChar">
    <w:name w:val="Body Text Char"/>
    <w:basedOn w:val="DefaultParagraphFont"/>
    <w:link w:val="BodyText"/>
    <w:uiPriority w:val="99"/>
    <w:semiHidden/>
    <w:rsid w:val="00425D1A"/>
    <w:rPr>
      <w:sz w:val="28"/>
      <w:szCs w:val="28"/>
      <w:lang w:val="uk-UA" w:eastAsia="uk-UA"/>
    </w:rPr>
  </w:style>
  <w:style w:type="paragraph" w:styleId="BalloonText">
    <w:name w:val="Balloon Text"/>
    <w:basedOn w:val="Normal"/>
    <w:link w:val="BalloonTextChar"/>
    <w:uiPriority w:val="99"/>
    <w:semiHidden/>
    <w:rsid w:val="003077CD"/>
    <w:rPr>
      <w:rFonts w:ascii="Tahoma" w:hAnsi="Tahoma" w:cs="Tahoma"/>
      <w:sz w:val="16"/>
      <w:szCs w:val="16"/>
    </w:rPr>
  </w:style>
  <w:style w:type="character" w:customStyle="1" w:styleId="BalloonTextChar">
    <w:name w:val="Balloon Text Char"/>
    <w:basedOn w:val="DefaultParagraphFont"/>
    <w:link w:val="BalloonText"/>
    <w:uiPriority w:val="99"/>
    <w:semiHidden/>
    <w:rsid w:val="00425D1A"/>
    <w:rPr>
      <w:sz w:val="0"/>
      <w:szCs w:val="0"/>
      <w:lang w:val="uk-UA" w:eastAsia="uk-UA"/>
    </w:rPr>
  </w:style>
  <w:style w:type="paragraph" w:styleId="ListParagraph">
    <w:name w:val="List Paragraph"/>
    <w:basedOn w:val="Normal"/>
    <w:uiPriority w:val="99"/>
    <w:qFormat/>
    <w:rsid w:val="003077CD"/>
    <w:pPr>
      <w:ind w:left="720"/>
    </w:pPr>
    <w:rPr>
      <w:sz w:val="20"/>
      <w:szCs w:val="20"/>
      <w:lang w:val="ru-RU" w:eastAsia="ru-RU"/>
    </w:rPr>
  </w:style>
  <w:style w:type="table" w:styleId="TableGrid">
    <w:name w:val="Table Grid"/>
    <w:basedOn w:val="TableNormal"/>
    <w:uiPriority w:val="99"/>
    <w:rsid w:val="00307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D678B"/>
    <w:pPr>
      <w:tabs>
        <w:tab w:val="center" w:pos="4819"/>
        <w:tab w:val="right" w:pos="9639"/>
      </w:tabs>
    </w:pPr>
  </w:style>
  <w:style w:type="character" w:customStyle="1" w:styleId="HeaderChar">
    <w:name w:val="Header Char"/>
    <w:basedOn w:val="DefaultParagraphFont"/>
    <w:link w:val="Header"/>
    <w:uiPriority w:val="99"/>
    <w:locked/>
    <w:rsid w:val="002D678B"/>
    <w:rPr>
      <w:sz w:val="28"/>
      <w:szCs w:val="28"/>
    </w:rPr>
  </w:style>
  <w:style w:type="paragraph" w:styleId="Footer">
    <w:name w:val="footer"/>
    <w:basedOn w:val="Normal"/>
    <w:link w:val="FooterChar"/>
    <w:uiPriority w:val="99"/>
    <w:rsid w:val="002D678B"/>
    <w:pPr>
      <w:tabs>
        <w:tab w:val="center" w:pos="4819"/>
        <w:tab w:val="right" w:pos="9639"/>
      </w:tabs>
    </w:pPr>
  </w:style>
  <w:style w:type="character" w:customStyle="1" w:styleId="FooterChar">
    <w:name w:val="Footer Char"/>
    <w:basedOn w:val="DefaultParagraphFont"/>
    <w:link w:val="Footer"/>
    <w:uiPriority w:val="99"/>
    <w:locked/>
    <w:rsid w:val="002D678B"/>
    <w:rPr>
      <w:sz w:val="28"/>
      <w:szCs w:val="28"/>
    </w:rPr>
  </w:style>
  <w:style w:type="paragraph" w:styleId="NoSpacing">
    <w:name w:val="No Spacing"/>
    <w:link w:val="NoSpacingChar"/>
    <w:uiPriority w:val="99"/>
    <w:qFormat/>
    <w:rsid w:val="00320BE4"/>
    <w:rPr>
      <w:sz w:val="24"/>
      <w:szCs w:val="24"/>
    </w:rPr>
  </w:style>
  <w:style w:type="character" w:customStyle="1" w:styleId="NoSpacingChar">
    <w:name w:val="No Spacing Char"/>
    <w:link w:val="NoSpacing"/>
    <w:uiPriority w:val="99"/>
    <w:locked/>
    <w:rsid w:val="009E2113"/>
    <w:rPr>
      <w:rFonts w:eastAsia="Times New Roman"/>
      <w:sz w:val="24"/>
      <w:szCs w:val="24"/>
      <w:lang w:val="ru-RU" w:eastAsia="ru-RU"/>
    </w:rPr>
  </w:style>
  <w:style w:type="character" w:customStyle="1" w:styleId="1">
    <w:name w:val="Основной текст Знак1"/>
    <w:uiPriority w:val="99"/>
    <w:locked/>
    <w:rsid w:val="009E2113"/>
    <w:rPr>
      <w:rFonts w:ascii="Times New Roman" w:hAnsi="Times New Roman" w:cs="Times New Roman"/>
      <w:sz w:val="22"/>
      <w:szCs w:val="22"/>
      <w:shd w:val="clear" w:color="auto" w:fill="FFFFFF"/>
    </w:rPr>
  </w:style>
  <w:style w:type="character" w:customStyle="1" w:styleId="2">
    <w:name w:val="Основной текст (2) + Не полужирный"/>
    <w:uiPriority w:val="99"/>
    <w:rsid w:val="009E2113"/>
    <w:rPr>
      <w:rFonts w:ascii="Times New Roman" w:hAnsi="Times New Roman" w:cs="Times New Roman"/>
      <w:b/>
      <w:bCs/>
      <w:sz w:val="22"/>
      <w:szCs w:val="22"/>
      <w:u w:val="none"/>
    </w:rPr>
  </w:style>
</w:styles>
</file>

<file path=word/webSettings.xml><?xml version="1.0" encoding="utf-8"?>
<w:webSettings xmlns:r="http://schemas.openxmlformats.org/officeDocument/2006/relationships" xmlns:w="http://schemas.openxmlformats.org/wordprocessingml/2006/main">
  <w:divs>
    <w:div w:id="1715301501">
      <w:marLeft w:val="0"/>
      <w:marRight w:val="0"/>
      <w:marTop w:val="0"/>
      <w:marBottom w:val="0"/>
      <w:divBdr>
        <w:top w:val="none" w:sz="0" w:space="0" w:color="auto"/>
        <w:left w:val="none" w:sz="0" w:space="0" w:color="auto"/>
        <w:bottom w:val="none" w:sz="0" w:space="0" w:color="auto"/>
        <w:right w:val="none" w:sz="0" w:space="0" w:color="auto"/>
      </w:divBdr>
    </w:div>
    <w:div w:id="171530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2/2021"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5</Pages>
  <Words>2165</Words>
  <Characters>12347</Characters>
  <Application>Microsoft Office Outlook</Application>
  <DocSecurity>0</DocSecurity>
  <Lines>0</Lines>
  <Paragraphs>0</Paragraphs>
  <ScaleCrop>false</ScaleCrop>
  <Company>Міська Рада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канцелярії</dc:title>
  <dc:subject/>
  <dc:creator>user</dc:creator>
  <cp:keywords/>
  <dc:description/>
  <cp:lastModifiedBy>Пользователь</cp:lastModifiedBy>
  <cp:revision>101</cp:revision>
  <cp:lastPrinted>2020-05-20T10:09:00Z</cp:lastPrinted>
  <dcterms:created xsi:type="dcterms:W3CDTF">2021-05-24T07:47:00Z</dcterms:created>
  <dcterms:modified xsi:type="dcterms:W3CDTF">2021-06-11T06:43:00Z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